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43F5E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94178F" w:rsidRPr="00D43F5E" w:rsidRDefault="0094178F" w:rsidP="0094178F">
      <w:pPr>
        <w:jc w:val="center"/>
        <w:rPr>
          <w:sz w:val="4"/>
          <w:szCs w:val="4"/>
          <w:lang w:val="fr-FR"/>
        </w:rPr>
      </w:pPr>
    </w:p>
    <w:p w:rsidR="006544C4" w:rsidRPr="00D43F5E" w:rsidRDefault="008D10CF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D43F5E" w:rsidRDefault="006544C4" w:rsidP="00907825">
      <w:pPr>
        <w:pStyle w:val="DecHTitle"/>
        <w:rPr>
          <w:caps/>
          <w:sz w:val="32"/>
          <w:lang w:val="fr-FR"/>
        </w:rPr>
      </w:pPr>
      <w:r w:rsidRPr="00D43F5E">
        <w:rPr>
          <w:lang w:val="fr-FR"/>
        </w:rPr>
        <w:t>DÉCISION</w:t>
      </w:r>
    </w:p>
    <w:p w:rsidR="006544C4" w:rsidRDefault="008D10CF" w:rsidP="00907825">
      <w:pPr>
        <w:pStyle w:val="ECHRTitleCentre2"/>
        <w:rPr>
          <w:i w:val="0"/>
          <w:lang w:val="fr-FR"/>
        </w:rPr>
      </w:pPr>
      <w:r w:rsidRPr="00D43F5E">
        <w:rPr>
          <w:i w:val="0"/>
          <w:lang w:val="fr-FR"/>
        </w:rPr>
        <w:t>Requête n</w:t>
      </w:r>
      <w:r w:rsidRPr="00D43F5E">
        <w:rPr>
          <w:i w:val="0"/>
          <w:vertAlign w:val="superscript"/>
          <w:lang w:val="fr-FR"/>
        </w:rPr>
        <w:t>o</w:t>
      </w:r>
      <w:r w:rsidR="006544C4" w:rsidRPr="00D43F5E">
        <w:rPr>
          <w:i w:val="0"/>
          <w:lang w:val="fr-FR"/>
        </w:rPr>
        <w:t xml:space="preserve"> </w:t>
      </w:r>
      <w:r>
        <w:rPr>
          <w:i w:val="0"/>
          <w:lang w:val="fr-FR"/>
        </w:rPr>
        <w:t>43993/12</w:t>
      </w:r>
      <w:r w:rsidR="006544C4" w:rsidRPr="00D43F5E">
        <w:rPr>
          <w:i w:val="0"/>
          <w:lang w:val="fr-FR"/>
        </w:rPr>
        <w:br/>
      </w:r>
      <w:r>
        <w:rPr>
          <w:i w:val="0"/>
          <w:lang w:val="fr-FR"/>
        </w:rPr>
        <w:t>Teseo</w:t>
      </w:r>
      <w:r w:rsidRPr="00D43F5E">
        <w:rPr>
          <w:i w:val="0"/>
          <w:lang w:val="fr-FR"/>
        </w:rPr>
        <w:t xml:space="preserve"> </w:t>
      </w:r>
      <w:r>
        <w:rPr>
          <w:i w:val="0"/>
          <w:lang w:val="fr-FR"/>
        </w:rPr>
        <w:t>RANUCCI</w:t>
      </w:r>
      <w:r w:rsidR="00CA7BA1">
        <w:rPr>
          <w:i w:val="0"/>
          <w:lang w:val="fr-FR"/>
        </w:rPr>
        <w:t xml:space="preserve"> </w:t>
      </w:r>
      <w:r w:rsidR="006544C4" w:rsidRPr="00D43F5E">
        <w:rPr>
          <w:i w:val="0"/>
          <w:lang w:val="fr-FR"/>
        </w:rPr>
        <w:t xml:space="preserve">contre </w:t>
      </w:r>
      <w:r w:rsidRPr="00D43F5E">
        <w:rPr>
          <w:i w:val="0"/>
          <w:lang w:val="fr-FR"/>
        </w:rPr>
        <w:t>l</w:t>
      </w:r>
      <w:r w:rsidR="00E36981">
        <w:rPr>
          <w:i w:val="0"/>
          <w:lang w:val="fr-FR"/>
        </w:rPr>
        <w:t>’</w:t>
      </w:r>
      <w:r w:rsidR="00CA7BA1">
        <w:rPr>
          <w:i w:val="0"/>
          <w:lang w:val="fr-FR"/>
        </w:rPr>
        <w:t>Italie</w:t>
      </w:r>
      <w:r w:rsidR="00CA7BA1">
        <w:rPr>
          <w:i w:val="0"/>
          <w:lang w:val="fr-FR"/>
        </w:rPr>
        <w:br/>
        <w:t>et 3 autres requêtes</w:t>
      </w:r>
      <w:r w:rsidR="00CA7BA1">
        <w:rPr>
          <w:i w:val="0"/>
          <w:lang w:val="fr-FR"/>
        </w:rPr>
        <w:br/>
        <w:t>(voir liste en annexe)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La Cour européenne des droits de l</w:t>
      </w:r>
      <w:r w:rsidR="00E36981">
        <w:rPr>
          <w:lang w:val="fr-FR"/>
        </w:rPr>
        <w:t>’</w:t>
      </w:r>
      <w:r w:rsidRPr="00945836">
        <w:rPr>
          <w:lang w:val="fr-FR"/>
        </w:rPr>
        <w:t>homme (</w:t>
      </w:r>
      <w:r>
        <w:rPr>
          <w:lang w:val="fr-FR"/>
        </w:rPr>
        <w:t>première section</w:t>
      </w:r>
      <w:r w:rsidRPr="00945836">
        <w:rPr>
          <w:lang w:val="fr-FR"/>
        </w:rPr>
        <w:t xml:space="preserve">), siégeant le </w:t>
      </w:r>
      <w:r w:rsidR="00BC16FC">
        <w:rPr>
          <w:lang w:val="fr-FR"/>
        </w:rPr>
        <w:t>13 septembre 2016</w:t>
      </w:r>
      <w:r w:rsidRPr="00945836">
        <w:rPr>
          <w:lang w:val="fr-FR"/>
        </w:rPr>
        <w:t xml:space="preserve"> en un comité composé de :</w:t>
      </w:r>
    </w:p>
    <w:p w:rsidR="008D10CF" w:rsidRPr="00945836" w:rsidRDefault="00BC16FC" w:rsidP="003071E2">
      <w:pPr>
        <w:pStyle w:val="ECHRDecisionBody"/>
        <w:rPr>
          <w:lang w:val="fr-FR"/>
        </w:rPr>
      </w:pPr>
      <w:r w:rsidRPr="00C02B8D">
        <w:rPr>
          <w:lang w:val="fr-FR"/>
        </w:rPr>
        <w:tab/>
      </w:r>
      <w:r w:rsidRPr="00BC16FC">
        <w:rPr>
          <w:lang w:val="fr-FR"/>
        </w:rPr>
        <w:t>Linos-Alexandre Sicilianos,</w:t>
      </w:r>
      <w:r w:rsidRPr="00BC16FC">
        <w:rPr>
          <w:i/>
          <w:lang w:val="fr-FR"/>
        </w:rPr>
        <w:t xml:space="preserve"> président,</w:t>
      </w:r>
      <w:r w:rsidRPr="00BC16FC">
        <w:rPr>
          <w:i/>
          <w:lang w:val="fr-FR"/>
        </w:rPr>
        <w:br/>
      </w:r>
      <w:r w:rsidRPr="00BC16FC">
        <w:rPr>
          <w:lang w:val="fr-FR"/>
        </w:rPr>
        <w:tab/>
        <w:t>Ledi Bianku,</w:t>
      </w:r>
      <w:r w:rsidRPr="00BC16FC">
        <w:rPr>
          <w:i/>
          <w:lang w:val="fr-FR"/>
        </w:rPr>
        <w:br/>
      </w:r>
      <w:r w:rsidRPr="00BC16FC">
        <w:rPr>
          <w:lang w:val="fr-FR"/>
        </w:rPr>
        <w:tab/>
        <w:t>Aleš Pejchal,</w:t>
      </w:r>
      <w:r w:rsidRPr="00BC16FC">
        <w:rPr>
          <w:i/>
          <w:lang w:val="fr-FR"/>
        </w:rPr>
        <w:t xml:space="preserve"> juges,</w:t>
      </w:r>
      <w:r w:rsidRPr="00BC16FC">
        <w:rPr>
          <w:lang w:val="fr-FR"/>
        </w:rPr>
        <w:br/>
      </w:r>
      <w:r w:rsidR="008D10CF" w:rsidRPr="00945836">
        <w:rPr>
          <w:lang w:val="fr-FR"/>
        </w:rPr>
        <w:t xml:space="preserve">et de </w:t>
      </w:r>
      <w:r w:rsidR="008D10CF">
        <w:rPr>
          <w:lang w:val="fr-FR"/>
        </w:rPr>
        <w:t>Renata</w:t>
      </w:r>
      <w:r w:rsidR="008D10CF" w:rsidRPr="00945836">
        <w:rPr>
          <w:lang w:val="fr-FR"/>
        </w:rPr>
        <w:t xml:space="preserve"> </w:t>
      </w:r>
      <w:r w:rsidR="008D10CF">
        <w:rPr>
          <w:lang w:val="fr-FR"/>
        </w:rPr>
        <w:t>Degener</w:t>
      </w:r>
      <w:r w:rsidR="008D10CF" w:rsidRPr="00945836">
        <w:rPr>
          <w:lang w:val="fr-FR"/>
        </w:rPr>
        <w:t xml:space="preserve">, </w:t>
      </w:r>
      <w:r w:rsidR="008D10CF" w:rsidRPr="00945836">
        <w:rPr>
          <w:i/>
          <w:lang w:val="fr-FR"/>
        </w:rPr>
        <w:t>greffière adjointe</w:t>
      </w:r>
      <w:r w:rsidR="008D10CF" w:rsidRPr="00945836">
        <w:rPr>
          <w:i/>
          <w:iCs/>
          <w:lang w:val="fr-FR"/>
        </w:rPr>
        <w:t xml:space="preserve"> d</w:t>
      </w:r>
      <w:r w:rsidR="008D10CF" w:rsidRPr="00945836">
        <w:rPr>
          <w:i/>
          <w:lang w:val="fr-FR"/>
        </w:rPr>
        <w:t>e section,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Vu les requêtes susmentionnées introduites aux dates indiquées dans le tableau joint en annexe,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 xml:space="preserve">Vu la déclaration déposée par le gouvernement défendeur le </w:t>
      </w:r>
      <w:r>
        <w:rPr>
          <w:lang w:val="fr-FR"/>
        </w:rPr>
        <w:t>12 avril 2016</w:t>
      </w:r>
      <w:r w:rsidRPr="00945836">
        <w:rPr>
          <w:lang w:val="fr-FR"/>
        </w:rPr>
        <w:t xml:space="preserve"> invitant la Cour à rayer les requêtes du rôle, ainsi que la réponse des parties requérantes</w:t>
      </w:r>
      <w:r w:rsidRPr="00945836">
        <w:rPr>
          <w:b/>
          <w:szCs w:val="24"/>
          <w:lang w:val="fr-FR"/>
        </w:rPr>
        <w:t xml:space="preserve"> </w:t>
      </w:r>
      <w:r w:rsidRPr="00945836">
        <w:rPr>
          <w:lang w:val="fr-FR"/>
        </w:rPr>
        <w:t>à cette déclaration ;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Après en avoir délibéré, rend la décision suivante :</w:t>
      </w:r>
    </w:p>
    <w:p w:rsidR="008D10CF" w:rsidRPr="00945836" w:rsidRDefault="008D10CF" w:rsidP="003071E2">
      <w:pPr>
        <w:pStyle w:val="ECHRTitle1"/>
        <w:rPr>
          <w:lang w:val="fr-FR"/>
        </w:rPr>
      </w:pPr>
      <w:r w:rsidRPr="00945836">
        <w:rPr>
          <w:lang w:val="fr-FR"/>
        </w:rPr>
        <w:t>FAITS ET PROCÉDURE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La liste des parties requérantes figure en annexe.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945836">
        <w:rPr>
          <w:lang w:val="fr-FR"/>
        </w:rPr>
        <w:t xml:space="preserve"> (« le Gouvernement ») a été représenté par son agent, </w:t>
      </w:r>
      <w:r w:rsidRPr="00AB7B64">
        <w:rPr>
          <w:lang w:val="fr-FR"/>
        </w:rPr>
        <w:t>M</w:t>
      </w:r>
      <w:r w:rsidRPr="009E4C25">
        <w:rPr>
          <w:vertAlign w:val="superscript"/>
          <w:lang w:val="fr-FR"/>
        </w:rPr>
        <w:t>me</w:t>
      </w:r>
      <w:r w:rsidRPr="00AB7B64">
        <w:rPr>
          <w:lang w:val="fr-FR"/>
        </w:rPr>
        <w:t xml:space="preserve"> E. Spatafora, et son coagent, M</w:t>
      </w:r>
      <w:r w:rsidRPr="009E4C25">
        <w:rPr>
          <w:vertAlign w:val="superscript"/>
          <w:lang w:val="fr-FR"/>
        </w:rPr>
        <w:t>me</w:t>
      </w:r>
      <w:r w:rsidRPr="00AB7B64">
        <w:rPr>
          <w:lang w:val="fr-FR"/>
        </w:rPr>
        <w:t xml:space="preserve"> P. Accardo</w:t>
      </w:r>
      <w:r w:rsidRPr="00945836">
        <w:rPr>
          <w:lang w:val="fr-FR"/>
        </w:rPr>
        <w:t>.</w:t>
      </w:r>
    </w:p>
    <w:p w:rsidR="008D10CF" w:rsidRPr="00AB7B64" w:rsidRDefault="008D10CF" w:rsidP="003071E2">
      <w:pPr>
        <w:pStyle w:val="ECHRPara"/>
        <w:rPr>
          <w:lang w:val="fr-FR"/>
        </w:rPr>
      </w:pPr>
      <w:r>
        <w:rPr>
          <w:lang w:val="fr-FR"/>
        </w:rPr>
        <w:t>I</w:t>
      </w:r>
      <w:r w:rsidRPr="00945836">
        <w:rPr>
          <w:lang w:val="fr-FR"/>
        </w:rPr>
        <w:t>nvoquant l</w:t>
      </w:r>
      <w:r w:rsidR="00E36981">
        <w:rPr>
          <w:lang w:val="fr-FR"/>
        </w:rPr>
        <w:t>’</w:t>
      </w:r>
      <w:r w:rsidRPr="00945836">
        <w:rPr>
          <w:lang w:val="fr-FR"/>
        </w:rPr>
        <w:t xml:space="preserve">article </w:t>
      </w:r>
      <w:r>
        <w:rPr>
          <w:lang w:val="fr-FR"/>
        </w:rPr>
        <w:t>6 § 1</w:t>
      </w:r>
      <w:r w:rsidRPr="00945836">
        <w:rPr>
          <w:lang w:val="fr-FR"/>
        </w:rPr>
        <w:t xml:space="preserve"> de la Convention, les requérants se plaignaient </w:t>
      </w:r>
      <w:r w:rsidRPr="00AB7B64">
        <w:rPr>
          <w:lang w:val="fr-FR"/>
        </w:rPr>
        <w:t>du manque de publicité de la procédure devant les juridictions compétentes.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 xml:space="preserve">Les requêtes </w:t>
      </w:r>
      <w:r w:rsidRPr="00945836">
        <w:rPr>
          <w:bCs/>
          <w:szCs w:val="24"/>
          <w:lang w:val="fr-FR" w:eastAsia="en-GB"/>
        </w:rPr>
        <w:t>avaient été communiquées</w:t>
      </w:r>
      <w:r w:rsidRPr="00945836">
        <w:rPr>
          <w:lang w:val="fr-FR"/>
        </w:rPr>
        <w:t xml:space="preserve"> </w:t>
      </w:r>
      <w:r w:rsidRPr="00945836">
        <w:rPr>
          <w:szCs w:val="24"/>
          <w:lang w:val="fr-FR" w:eastAsia="en-GB"/>
        </w:rPr>
        <w:t>a</w:t>
      </w:r>
      <w:r w:rsidRPr="00945836">
        <w:rPr>
          <w:color w:val="000000"/>
          <w:szCs w:val="24"/>
          <w:lang w:val="fr-FR" w:eastAsia="en-GB"/>
        </w:rPr>
        <w:t>u Gouvernement</w:t>
      </w:r>
      <w:r w:rsidRPr="00945836">
        <w:rPr>
          <w:color w:val="0000FF"/>
          <w:szCs w:val="24"/>
          <w:lang w:val="fr-FR" w:eastAsia="en-GB"/>
        </w:rPr>
        <w:t>.</w:t>
      </w:r>
    </w:p>
    <w:p w:rsidR="008D10CF" w:rsidRPr="00945836" w:rsidRDefault="008D10CF" w:rsidP="003071E2">
      <w:pPr>
        <w:pStyle w:val="ECHRTitle1"/>
        <w:rPr>
          <w:lang w:val="fr-FR"/>
        </w:rPr>
      </w:pPr>
      <w:r w:rsidRPr="00945836">
        <w:rPr>
          <w:lang w:val="fr-FR"/>
        </w:rPr>
        <w:t>EN DROIT</w:t>
      </w:r>
    </w:p>
    <w:p w:rsidR="008D10CF" w:rsidRPr="00844E37" w:rsidRDefault="008D10CF" w:rsidP="003071E2">
      <w:pPr>
        <w:pStyle w:val="ECHRPara"/>
        <w:rPr>
          <w:szCs w:val="24"/>
          <w:lang w:val="fr-FR"/>
        </w:rPr>
      </w:pPr>
      <w:r w:rsidRPr="00844E37">
        <w:rPr>
          <w:szCs w:val="24"/>
          <w:lang w:val="fr-FR"/>
        </w:rPr>
        <w:t>Compte tenu de la similitude des griefs au titre de la Convention soulevés dans les affaires susmentionnées, la Cour estime approprié de joindre les requêtes.</w:t>
      </w:r>
    </w:p>
    <w:p w:rsidR="008D10CF" w:rsidRDefault="008D10CF" w:rsidP="003071E2">
      <w:pPr>
        <w:pStyle w:val="ECHRPara"/>
        <w:rPr>
          <w:bCs/>
          <w:lang w:val="fr-FR"/>
        </w:rPr>
      </w:pPr>
      <w:r w:rsidRPr="00B232A9">
        <w:rPr>
          <w:szCs w:val="24"/>
          <w:lang w:val="fr-FR"/>
        </w:rPr>
        <w:lastRenderedPageBreak/>
        <w:t>Les parties requérantes</w:t>
      </w:r>
      <w:r w:rsidRPr="00B232A9">
        <w:rPr>
          <w:lang w:val="fr-FR"/>
        </w:rPr>
        <w:t xml:space="preserve"> se plaignaient du manque de publicité de la procédure </w:t>
      </w:r>
      <w:r w:rsidRPr="00B232A9">
        <w:rPr>
          <w:bCs/>
          <w:lang w:val="fr-FR"/>
        </w:rPr>
        <w:t>en réparation à la suite d</w:t>
      </w:r>
      <w:r w:rsidR="00E36981">
        <w:rPr>
          <w:bCs/>
          <w:lang w:val="fr-FR"/>
        </w:rPr>
        <w:t>’</w:t>
      </w:r>
      <w:r w:rsidRPr="00B232A9">
        <w:rPr>
          <w:bCs/>
          <w:lang w:val="fr-FR"/>
        </w:rPr>
        <w:t>une détention préventive injuste.</w:t>
      </w:r>
    </w:p>
    <w:p w:rsidR="008D10CF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Elles invoquaient l</w:t>
      </w:r>
      <w:r w:rsidR="00E36981">
        <w:rPr>
          <w:lang w:val="fr-FR"/>
        </w:rPr>
        <w:t>’</w:t>
      </w:r>
      <w:r w:rsidRPr="00945836">
        <w:rPr>
          <w:lang w:val="fr-FR"/>
        </w:rPr>
        <w:t xml:space="preserve">article </w:t>
      </w:r>
      <w:r>
        <w:rPr>
          <w:lang w:val="fr-FR"/>
        </w:rPr>
        <w:t>6 § 1</w:t>
      </w:r>
      <w:r w:rsidRPr="00945836">
        <w:rPr>
          <w:lang w:val="fr-FR"/>
        </w:rPr>
        <w:t xml:space="preserve"> de la Convention.</w:t>
      </w:r>
    </w:p>
    <w:p w:rsidR="008D10CF" w:rsidRPr="00945836" w:rsidRDefault="008D10CF" w:rsidP="003071E2">
      <w:pPr>
        <w:pStyle w:val="ECHRPara"/>
        <w:rPr>
          <w:szCs w:val="24"/>
          <w:lang w:val="fr-FR"/>
        </w:rPr>
      </w:pPr>
      <w:r w:rsidRPr="00945836">
        <w:rPr>
          <w:lang w:val="fr-FR"/>
        </w:rPr>
        <w:t>Après l</w:t>
      </w:r>
      <w:r w:rsidR="00E36981">
        <w:rPr>
          <w:lang w:val="fr-FR"/>
        </w:rPr>
        <w:t>’</w:t>
      </w:r>
      <w:r w:rsidRPr="00945836">
        <w:rPr>
          <w:lang w:val="fr-FR"/>
        </w:rPr>
        <w:t>échec des tentatives de règlement amiable, par</w:t>
      </w:r>
      <w:r w:rsidRPr="00945836">
        <w:rPr>
          <w:szCs w:val="24"/>
          <w:lang w:val="fr-FR"/>
        </w:rPr>
        <w:t xml:space="preserve"> une lettre du </w:t>
      </w:r>
      <w:r>
        <w:rPr>
          <w:lang w:val="fr-FR"/>
        </w:rPr>
        <w:t>12 avril 2016</w:t>
      </w:r>
      <w:r w:rsidRPr="00945836">
        <w:rPr>
          <w:szCs w:val="24"/>
          <w:lang w:val="fr-FR"/>
        </w:rPr>
        <w:t xml:space="preserve"> le Gouvernement a informé la Cour qu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945836">
        <w:rPr>
          <w:lang w:val="fr-FR"/>
        </w:rPr>
        <w:t>les requêtes</w:t>
      </w:r>
      <w:r w:rsidRPr="00945836">
        <w:rPr>
          <w:szCs w:val="24"/>
          <w:lang w:val="fr-FR"/>
        </w:rPr>
        <w:t>. Il a en outre invité la Cour à rayer celle</w:t>
      </w:r>
      <w:r w:rsidRPr="00945836">
        <w:rPr>
          <w:lang w:val="fr-FR"/>
        </w:rPr>
        <w:t>s</w:t>
      </w:r>
      <w:r w:rsidRPr="00945836">
        <w:rPr>
          <w:szCs w:val="24"/>
          <w:lang w:val="fr-FR"/>
        </w:rPr>
        <w:t>-ci du rôle en application de l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>article 37 de la Convention.</w:t>
      </w:r>
    </w:p>
    <w:p w:rsidR="008D10CF" w:rsidRPr="00945836" w:rsidRDefault="008D10CF" w:rsidP="003071E2">
      <w:pPr>
        <w:pStyle w:val="ECHRPara"/>
        <w:rPr>
          <w:szCs w:val="24"/>
          <w:lang w:val="fr-FR"/>
        </w:rPr>
      </w:pPr>
      <w:r w:rsidRPr="00945836">
        <w:rPr>
          <w:szCs w:val="24"/>
          <w:lang w:val="fr-FR"/>
        </w:rPr>
        <w:t>La déclaration était ainsi libellée :</w:t>
      </w:r>
    </w:p>
    <w:p w:rsidR="008D10CF" w:rsidRPr="00E36981" w:rsidRDefault="008D10CF" w:rsidP="00E36981">
      <w:pPr>
        <w:pStyle w:val="ECHRParaQuote"/>
        <w:rPr>
          <w:lang w:val="fr-FR"/>
        </w:rPr>
      </w:pPr>
      <w:r w:rsidRPr="00E36981">
        <w:rPr>
          <w:lang w:val="fr-FR"/>
        </w:rPr>
        <w:t>« Considéré que, par un arrêt du 10 avril 2012, dans l</w:t>
      </w:r>
      <w:r w:rsidR="00E36981">
        <w:rPr>
          <w:lang w:val="fr-FR"/>
        </w:rPr>
        <w:t>’</w:t>
      </w:r>
      <w:r w:rsidRPr="00E36981">
        <w:rPr>
          <w:lang w:val="fr-FR"/>
        </w:rPr>
        <w:t>affaire Lorenzetti c.</w:t>
      </w:r>
      <w:r w:rsidR="00C02B8D" w:rsidRPr="00E36981">
        <w:rPr>
          <w:lang w:val="fr-FR"/>
        </w:rPr>
        <w:t> </w:t>
      </w:r>
      <w:r w:rsidRPr="00E36981">
        <w:rPr>
          <w:lang w:val="fr-FR"/>
        </w:rPr>
        <w:t>Italie no</w:t>
      </w:r>
      <w:r w:rsidR="00C02B8D" w:rsidRPr="00E36981">
        <w:rPr>
          <w:lang w:val="fr-FR"/>
        </w:rPr>
        <w:t> </w:t>
      </w:r>
      <w:r w:rsidRPr="00E36981">
        <w:rPr>
          <w:lang w:val="fr-FR"/>
        </w:rPr>
        <w:t>32075/09, la Cour a estimé que l</w:t>
      </w:r>
      <w:r w:rsidR="00E36981">
        <w:rPr>
          <w:lang w:val="fr-FR"/>
        </w:rPr>
        <w:t>’</w:t>
      </w:r>
      <w:r w:rsidRPr="00E36981">
        <w:rPr>
          <w:lang w:val="fr-FR"/>
        </w:rPr>
        <w:t>impossibilité pour le requérant de demander une audience publique devant la cour d</w:t>
      </w:r>
      <w:r w:rsidR="00E36981">
        <w:rPr>
          <w:lang w:val="fr-FR"/>
        </w:rPr>
        <w:t>’</w:t>
      </w:r>
      <w:r w:rsidRPr="00E36981">
        <w:rPr>
          <w:lang w:val="fr-FR"/>
        </w:rPr>
        <w:t>appel, dans la procédure de réparation pour la détention provisoire subie, au sens de l</w:t>
      </w:r>
      <w:r w:rsidR="00E36981">
        <w:rPr>
          <w:lang w:val="fr-FR"/>
        </w:rPr>
        <w:t>’</w:t>
      </w:r>
      <w:r w:rsidRPr="00E36981">
        <w:rPr>
          <w:lang w:val="fr-FR"/>
        </w:rPr>
        <w:t>article 314 § 1 du code de procédure pénale, constituait une violation de l</w:t>
      </w:r>
      <w:r w:rsidR="00E36981">
        <w:rPr>
          <w:lang w:val="fr-FR"/>
        </w:rPr>
        <w:t>’</w:t>
      </w:r>
      <w:r w:rsidRPr="00E36981">
        <w:rPr>
          <w:lang w:val="fr-FR"/>
        </w:rPr>
        <w:t>article 6 § 1 de la Convention ;</w:t>
      </w:r>
    </w:p>
    <w:p w:rsidR="008D10CF" w:rsidRPr="00E36981" w:rsidRDefault="008D10CF" w:rsidP="00E36981">
      <w:pPr>
        <w:pStyle w:val="ECHRParaQuote"/>
        <w:rPr>
          <w:lang w:val="fr-FR"/>
        </w:rPr>
      </w:pPr>
      <w:r w:rsidRPr="00E36981">
        <w:rPr>
          <w:lang w:val="fr-FR"/>
        </w:rPr>
        <w:t>Considéré que dans les affaires en objet, ainsi que dans l</w:t>
      </w:r>
      <w:r w:rsidR="00E36981">
        <w:rPr>
          <w:lang w:val="fr-FR"/>
        </w:rPr>
        <w:t>’</w:t>
      </w:r>
      <w:r w:rsidRPr="00E36981">
        <w:rPr>
          <w:lang w:val="fr-FR"/>
        </w:rPr>
        <w:t>affaire Lorenzetti, la violation s</w:t>
      </w:r>
      <w:r w:rsidR="00E36981">
        <w:rPr>
          <w:lang w:val="fr-FR"/>
        </w:rPr>
        <w:t>’</w:t>
      </w:r>
      <w:r w:rsidRPr="00E36981">
        <w:rPr>
          <w:lang w:val="fr-FR"/>
        </w:rPr>
        <w:t>analyse sur le fait que les requérants n</w:t>
      </w:r>
      <w:r w:rsidR="00E36981">
        <w:rPr>
          <w:lang w:val="fr-FR"/>
        </w:rPr>
        <w:t>’</w:t>
      </w:r>
      <w:r w:rsidRPr="00E36981">
        <w:rPr>
          <w:lang w:val="fr-FR"/>
        </w:rPr>
        <w:t>avaient pas la faculté d</w:t>
      </w:r>
      <w:r w:rsidR="00E36981">
        <w:rPr>
          <w:lang w:val="fr-FR"/>
        </w:rPr>
        <w:t>’</w:t>
      </w:r>
      <w:r w:rsidRPr="00E36981">
        <w:rPr>
          <w:lang w:val="fr-FR"/>
        </w:rPr>
        <w:t>obtenir sur demande une audience publique :</w:t>
      </w:r>
    </w:p>
    <w:p w:rsidR="008D10CF" w:rsidRPr="00E36981" w:rsidRDefault="008D10CF" w:rsidP="00E36981">
      <w:pPr>
        <w:pStyle w:val="ECHRParaQuote"/>
        <w:rPr>
          <w:lang w:val="fr-FR"/>
        </w:rPr>
      </w:pPr>
      <w:r w:rsidRPr="00E36981">
        <w:rPr>
          <w:lang w:val="fr-FR"/>
        </w:rPr>
        <w:t>Le gouvernement italien reconnait la violation de l</w:t>
      </w:r>
      <w:r w:rsidR="00E36981">
        <w:rPr>
          <w:lang w:val="fr-FR"/>
        </w:rPr>
        <w:t>’</w:t>
      </w:r>
      <w:r w:rsidRPr="00E36981">
        <w:rPr>
          <w:lang w:val="fr-FR"/>
        </w:rPr>
        <w:t>article 6 § 1 de la Convention et souhaitant la réparer, offre, en plus du constat de violation, les frais de procédure à hauteur de 600 euros pour chaque requérant, à payer dans les trois mois suivant la date de notification de la décision de la décision de la Cour de radiation du rôle de l</w:t>
      </w:r>
      <w:r w:rsidR="00E36981">
        <w:rPr>
          <w:lang w:val="fr-FR"/>
        </w:rPr>
        <w:t>’</w:t>
      </w:r>
      <w:r w:rsidRPr="00E36981">
        <w:rPr>
          <w:lang w:val="fr-FR"/>
        </w:rPr>
        <w:t>affaire rendue conformément à l</w:t>
      </w:r>
      <w:r w:rsidR="00E36981">
        <w:rPr>
          <w:lang w:val="fr-FR"/>
        </w:rPr>
        <w:t>’</w:t>
      </w:r>
      <w:r w:rsidRPr="00E36981">
        <w:rPr>
          <w:lang w:val="fr-FR"/>
        </w:rPr>
        <w:t xml:space="preserve">article 37 §1 de la Convention. </w:t>
      </w:r>
      <w:r w:rsidR="00E36981" w:rsidRPr="00E36981">
        <w:rPr>
          <w:lang w:val="fr-FR"/>
        </w:rPr>
        <w:t>À</w:t>
      </w:r>
      <w:r w:rsidRPr="00E36981">
        <w:rPr>
          <w:lang w:val="fr-FR"/>
        </w:rPr>
        <w:t xml:space="preserve"> défaut de règlement dans ledit délai, le Gouvernement s</w:t>
      </w:r>
      <w:r w:rsidR="00E36981">
        <w:rPr>
          <w:lang w:val="fr-FR"/>
        </w:rPr>
        <w:t>’</w:t>
      </w:r>
      <w:r w:rsidRPr="00E36981">
        <w:rPr>
          <w:lang w:val="fr-FR"/>
        </w:rPr>
        <w:t>engage à verser, à compter de l</w:t>
      </w:r>
      <w:r w:rsidR="00E36981">
        <w:rPr>
          <w:lang w:val="fr-FR"/>
        </w:rPr>
        <w:t>’</w:t>
      </w:r>
      <w:r w:rsidRPr="00E36981">
        <w:rPr>
          <w:lang w:val="fr-FR"/>
        </w:rPr>
        <w:t>expiration de celui-ci et jusqu</w:t>
      </w:r>
      <w:r w:rsidR="00E36981">
        <w:rPr>
          <w:lang w:val="fr-FR"/>
        </w:rPr>
        <w:t>’</w:t>
      </w:r>
      <w:r w:rsidRPr="00E36981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36981">
        <w:rPr>
          <w:lang w:val="fr-FR"/>
        </w:rPr>
        <w:t>’</w:t>
      </w:r>
      <w:r w:rsidRPr="00E36981">
        <w:rPr>
          <w:lang w:val="fr-FR"/>
        </w:rPr>
        <w:t>affaire.</w:t>
      </w:r>
    </w:p>
    <w:p w:rsidR="008D10CF" w:rsidRPr="00E36981" w:rsidRDefault="008D10CF" w:rsidP="00E36981">
      <w:pPr>
        <w:pStyle w:val="ECHRParaQuote"/>
        <w:rPr>
          <w:lang w:val="fr-FR"/>
        </w:rPr>
      </w:pPr>
      <w:r w:rsidRPr="00E36981">
        <w:rPr>
          <w:lang w:val="fr-FR"/>
        </w:rPr>
        <w:t>Le Gouvernement italien estime que, au sens de l</w:t>
      </w:r>
      <w:r w:rsidR="00E36981">
        <w:rPr>
          <w:lang w:val="fr-FR"/>
        </w:rPr>
        <w:t>’</w:t>
      </w:r>
      <w:r w:rsidRPr="00E36981">
        <w:rPr>
          <w:lang w:val="fr-FR"/>
        </w:rPr>
        <w:t>article 37 §1 de la Convention, il ne se justifie plus de poursuivre l</w:t>
      </w:r>
      <w:r w:rsidR="00E36981">
        <w:rPr>
          <w:lang w:val="fr-FR"/>
        </w:rPr>
        <w:t>’</w:t>
      </w:r>
      <w:r w:rsidRPr="00E36981">
        <w:rPr>
          <w:lang w:val="fr-FR"/>
        </w:rPr>
        <w:t>examen et demande, donc, respectueusement à la Cour de disposer la radiation du rôle de la requête susmentionnée, car les conditions prévues par l</w:t>
      </w:r>
      <w:r w:rsidR="00E36981">
        <w:rPr>
          <w:lang w:val="fr-FR"/>
        </w:rPr>
        <w:t>’</w:t>
      </w:r>
      <w:r w:rsidRPr="00E36981">
        <w:rPr>
          <w:lang w:val="fr-FR"/>
        </w:rPr>
        <w:t>article 62 A du règlement de la Cour sont remplies.</w:t>
      </w:r>
      <w:r w:rsidR="009E4C25" w:rsidRPr="00E36981">
        <w:rPr>
          <w:lang w:val="fr-FR"/>
        </w:rPr>
        <w:t> </w:t>
      </w:r>
      <w:r w:rsidRPr="00E36981">
        <w:rPr>
          <w:lang w:val="fr-FR"/>
        </w:rPr>
        <w:t>»</w:t>
      </w:r>
    </w:p>
    <w:p w:rsidR="008D10CF" w:rsidRPr="00E36981" w:rsidRDefault="008D10CF" w:rsidP="009E4C25">
      <w:pPr>
        <w:pStyle w:val="ECHRPara"/>
        <w:rPr>
          <w:lang w:val="fr-FR"/>
        </w:rPr>
      </w:pPr>
      <w:r w:rsidRPr="00776592">
        <w:rPr>
          <w:lang w:val="fr-FR"/>
        </w:rPr>
        <w:t>Par des lettres des 2, 14 et 16 mai 2016, les parties requérantes ont indiqué qu</w:t>
      </w:r>
      <w:r w:rsidR="00E36981">
        <w:rPr>
          <w:lang w:val="fr-FR"/>
        </w:rPr>
        <w:t>’</w:t>
      </w:r>
      <w:r w:rsidRPr="00776592">
        <w:rPr>
          <w:lang w:val="fr-FR"/>
        </w:rPr>
        <w:t>elles n</w:t>
      </w:r>
      <w:r w:rsidR="00E36981">
        <w:rPr>
          <w:lang w:val="fr-FR"/>
        </w:rPr>
        <w:t>’</w:t>
      </w:r>
      <w:r w:rsidRPr="00776592">
        <w:rPr>
          <w:lang w:val="fr-FR"/>
        </w:rPr>
        <w:t xml:space="preserve">étaient pas satisfaites des termes de la déclaration unilatérale. </w:t>
      </w:r>
      <w:r w:rsidRPr="00E36981">
        <w:rPr>
          <w:lang w:val="fr-FR"/>
        </w:rPr>
        <w:t>M. Cavaiuolo n</w:t>
      </w:r>
      <w:r w:rsidR="00E36981">
        <w:rPr>
          <w:lang w:val="fr-FR"/>
        </w:rPr>
        <w:t>’</w:t>
      </w:r>
      <w:r w:rsidRPr="00E36981">
        <w:rPr>
          <w:lang w:val="fr-FR"/>
        </w:rPr>
        <w:t>a formulé aucun commentaire à l</w:t>
      </w:r>
      <w:r w:rsidR="00E36981">
        <w:rPr>
          <w:lang w:val="fr-FR"/>
        </w:rPr>
        <w:t>’</w:t>
      </w:r>
      <w:r w:rsidRPr="00E36981">
        <w:rPr>
          <w:lang w:val="fr-FR"/>
        </w:rPr>
        <w:t>égard de ladite déclaration unilatérale.</w:t>
      </w:r>
    </w:p>
    <w:p w:rsidR="008D10CF" w:rsidRPr="00945836" w:rsidRDefault="008D10CF" w:rsidP="001852F1">
      <w:pPr>
        <w:pStyle w:val="ECHRPara"/>
        <w:keepNext/>
        <w:keepLines/>
        <w:rPr>
          <w:lang w:val="fr-FR"/>
        </w:rPr>
      </w:pPr>
      <w:r w:rsidRPr="00945836">
        <w:rPr>
          <w:szCs w:val="24"/>
          <w:lang w:val="fr-FR"/>
        </w:rPr>
        <w:t>La Cour rappelle qu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>en vertu de l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 xml:space="preserve">article </w:t>
      </w:r>
      <w:r w:rsidRPr="00945836">
        <w:rPr>
          <w:lang w:val="fr-FR"/>
        </w:rPr>
        <w:t>37 de la Convention, à tout moment de la procédure, elle peut décider de rayer une requête du rôle lorsque les circonstances l</w:t>
      </w:r>
      <w:r w:rsidR="00E36981">
        <w:rPr>
          <w:lang w:val="fr-FR"/>
        </w:rPr>
        <w:t>’</w:t>
      </w:r>
      <w:r w:rsidRPr="00945836">
        <w:rPr>
          <w:lang w:val="fr-FR"/>
        </w:rPr>
        <w:t>amènent à l</w:t>
      </w:r>
      <w:r w:rsidR="00E36981">
        <w:rPr>
          <w:lang w:val="fr-FR"/>
        </w:rPr>
        <w:t>’</w:t>
      </w:r>
      <w:r w:rsidRPr="00945836">
        <w:rPr>
          <w:lang w:val="fr-FR"/>
        </w:rPr>
        <w:t>une des conclusions énoncées aux alinéas a), b) ou c) du paragraphe 1 de cet article. L</w:t>
      </w:r>
      <w:r w:rsidR="00E36981">
        <w:rPr>
          <w:lang w:val="fr-FR"/>
        </w:rPr>
        <w:t>’</w:t>
      </w:r>
      <w:r w:rsidRPr="00945836">
        <w:rPr>
          <w:lang w:val="fr-FR"/>
        </w:rPr>
        <w:t>article 37 § 1 c) lui permet en particulier de rayer une affaire du rôle si :</w:t>
      </w:r>
    </w:p>
    <w:p w:rsidR="008D10CF" w:rsidRPr="00945836" w:rsidRDefault="008D10CF" w:rsidP="001852F1">
      <w:pPr>
        <w:pStyle w:val="ECHRParaQuote"/>
        <w:keepNext/>
        <w:keepLines/>
        <w:rPr>
          <w:szCs w:val="24"/>
          <w:lang w:val="fr-FR"/>
        </w:rPr>
      </w:pPr>
      <w:r w:rsidRPr="00945836">
        <w:rPr>
          <w:lang w:val="fr-FR"/>
        </w:rPr>
        <w:t>« pour tout autre motif dont la Cour constate l</w:t>
      </w:r>
      <w:r w:rsidR="00E36981">
        <w:rPr>
          <w:lang w:val="fr-FR"/>
        </w:rPr>
        <w:t>’</w:t>
      </w:r>
      <w:r w:rsidRPr="00945836">
        <w:rPr>
          <w:lang w:val="fr-FR"/>
        </w:rPr>
        <w:t>existence, il ne se justifie plus de poursuivre l</w:t>
      </w:r>
      <w:r w:rsidR="00E36981">
        <w:rPr>
          <w:lang w:val="fr-FR"/>
        </w:rPr>
        <w:t>’</w:t>
      </w:r>
      <w:r w:rsidR="009E4C25">
        <w:rPr>
          <w:lang w:val="fr-FR"/>
        </w:rPr>
        <w:t>examen de la requête</w:t>
      </w:r>
      <w:r w:rsidRPr="00945836">
        <w:rPr>
          <w:lang w:val="fr-FR"/>
        </w:rPr>
        <w:t> ».</w:t>
      </w:r>
    </w:p>
    <w:p w:rsidR="008D10CF" w:rsidRPr="00945836" w:rsidRDefault="008D10CF" w:rsidP="003071E2">
      <w:pPr>
        <w:pStyle w:val="ECHRPara"/>
        <w:rPr>
          <w:szCs w:val="24"/>
          <w:lang w:val="fr-FR"/>
        </w:rPr>
      </w:pPr>
      <w:r w:rsidRPr="0094583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>article 37 § 1 c) sur la base d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>une déclaration unilatérale du gouvernement défendeur même si le requérant souhaite que l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>examen de l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>affaire se poursuive.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lastRenderedPageBreak/>
        <w:t>À</w:t>
      </w:r>
      <w:r w:rsidRPr="00945836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E36981">
        <w:rPr>
          <w:szCs w:val="24"/>
          <w:lang w:val="fr-FR"/>
        </w:rPr>
        <w:t>’</w:t>
      </w:r>
      <w:r w:rsidRPr="00945836">
        <w:rPr>
          <w:szCs w:val="24"/>
          <w:lang w:val="fr-FR"/>
        </w:rPr>
        <w:t xml:space="preserve">arrêt </w:t>
      </w:r>
      <w:r w:rsidRPr="00945836">
        <w:rPr>
          <w:i/>
          <w:lang w:val="fr-FR"/>
        </w:rPr>
        <w:t xml:space="preserve">Tahsin Acar </w:t>
      </w:r>
      <w:r w:rsidRPr="00945836">
        <w:rPr>
          <w:lang w:val="fr-FR"/>
        </w:rPr>
        <w:t>(</w:t>
      </w:r>
      <w:r w:rsidRPr="00945836">
        <w:rPr>
          <w:i/>
          <w:lang w:val="fr-FR"/>
        </w:rPr>
        <w:t>Tahsin Acar c. Turquie</w:t>
      </w:r>
      <w:r w:rsidRPr="00945836">
        <w:rPr>
          <w:iCs/>
          <w:lang w:val="fr-FR"/>
        </w:rPr>
        <w:t xml:space="preserve"> (question préliminaire) </w:t>
      </w:r>
      <w:r w:rsidRPr="00945836">
        <w:rPr>
          <w:lang w:val="fr-FR"/>
        </w:rPr>
        <w:t>[GC],</w:t>
      </w:r>
      <w:r w:rsidRPr="00945836">
        <w:rPr>
          <w:i/>
          <w:lang w:val="fr-FR"/>
        </w:rPr>
        <w:t xml:space="preserve"> </w:t>
      </w:r>
      <w:r w:rsidRPr="00945836">
        <w:rPr>
          <w:lang w:val="fr-FR"/>
        </w:rPr>
        <w:t>n</w:t>
      </w:r>
      <w:r w:rsidRPr="00945836">
        <w:rPr>
          <w:vertAlign w:val="superscript"/>
          <w:lang w:val="fr-FR"/>
        </w:rPr>
        <w:t xml:space="preserve">o </w:t>
      </w:r>
      <w:r w:rsidRPr="00945836">
        <w:rPr>
          <w:lang w:val="fr-FR"/>
        </w:rPr>
        <w:t>26307/95, §§ 75</w:t>
      </w:r>
      <w:r w:rsidRPr="00945836">
        <w:rPr>
          <w:lang w:val="fr-FR"/>
        </w:rPr>
        <w:noBreakHyphen/>
        <w:t>77, CEDH 2003</w:t>
      </w:r>
      <w:r w:rsidRPr="00945836">
        <w:rPr>
          <w:lang w:val="fr-FR"/>
        </w:rPr>
        <w:noBreakHyphen/>
        <w:t xml:space="preserve">VI, </w:t>
      </w:r>
      <w:r w:rsidRPr="00945836">
        <w:rPr>
          <w:i/>
          <w:szCs w:val="24"/>
          <w:lang w:val="fr-FR"/>
        </w:rPr>
        <w:t xml:space="preserve">WAZA </w:t>
      </w:r>
      <w:r w:rsidRPr="00945836">
        <w:rPr>
          <w:i/>
          <w:iCs/>
          <w:szCs w:val="24"/>
          <w:lang w:val="fr-FR"/>
        </w:rPr>
        <w:t>Sp. z o.o.</w:t>
      </w:r>
      <w:r w:rsidRPr="00945836">
        <w:rPr>
          <w:i/>
          <w:szCs w:val="24"/>
          <w:lang w:val="fr-FR"/>
        </w:rPr>
        <w:t xml:space="preserve"> c. Pologne </w:t>
      </w:r>
      <w:r w:rsidRPr="00945836">
        <w:rPr>
          <w:szCs w:val="24"/>
          <w:lang w:val="fr-FR"/>
        </w:rPr>
        <w:t>(déc.), n</w:t>
      </w:r>
      <w:r w:rsidRPr="00945836">
        <w:rPr>
          <w:szCs w:val="24"/>
          <w:vertAlign w:val="superscript"/>
          <w:lang w:val="fr-FR"/>
        </w:rPr>
        <w:t>o</w:t>
      </w:r>
      <w:r w:rsidRPr="00945836">
        <w:rPr>
          <w:szCs w:val="24"/>
          <w:lang w:val="fr-FR"/>
        </w:rPr>
        <w:t xml:space="preserve"> 11602/02, 26 juin 2007, et </w:t>
      </w:r>
      <w:r w:rsidRPr="00945836">
        <w:rPr>
          <w:i/>
          <w:szCs w:val="24"/>
          <w:lang w:val="fr-FR"/>
        </w:rPr>
        <w:t>Sulwińska c. Pologne</w:t>
      </w:r>
      <w:r w:rsidRPr="00945836">
        <w:rPr>
          <w:szCs w:val="24"/>
          <w:lang w:val="fr-FR"/>
        </w:rPr>
        <w:t xml:space="preserve"> (déc.), n</w:t>
      </w:r>
      <w:r w:rsidRPr="00945836">
        <w:rPr>
          <w:szCs w:val="24"/>
          <w:vertAlign w:val="superscript"/>
          <w:lang w:val="fr-FR"/>
        </w:rPr>
        <w:t>o</w:t>
      </w:r>
      <w:r w:rsidRPr="00945836">
        <w:rPr>
          <w:szCs w:val="24"/>
          <w:lang w:val="fr-FR"/>
        </w:rPr>
        <w:t xml:space="preserve"> 28953/03, 18 septembre 2007</w:t>
      </w:r>
      <w:r w:rsidRPr="00945836">
        <w:rPr>
          <w:lang w:val="fr-FR"/>
        </w:rPr>
        <w:t>).</w:t>
      </w:r>
    </w:p>
    <w:p w:rsidR="008D10CF" w:rsidRPr="00FB1DD1" w:rsidRDefault="008D10CF" w:rsidP="003071E2">
      <w:pPr>
        <w:pStyle w:val="ECHRPara"/>
        <w:rPr>
          <w:lang w:val="fr-FR"/>
        </w:rPr>
      </w:pPr>
      <w:r w:rsidRPr="00FB1DD1">
        <w:rPr>
          <w:lang w:val="fr-FR"/>
        </w:rPr>
        <w:t>La Cour a établi dans un certain nombre d</w:t>
      </w:r>
      <w:r w:rsidR="00E36981">
        <w:rPr>
          <w:lang w:val="fr-FR"/>
        </w:rPr>
        <w:t>’</w:t>
      </w:r>
      <w:r w:rsidRPr="00FB1DD1">
        <w:rPr>
          <w:lang w:val="fr-FR"/>
        </w:rPr>
        <w:t>affaires dirigées contre l</w:t>
      </w:r>
      <w:r w:rsidR="00E36981">
        <w:rPr>
          <w:lang w:val="fr-FR"/>
        </w:rPr>
        <w:t>’</w:t>
      </w:r>
      <w:r w:rsidRPr="00FB1DD1">
        <w:rPr>
          <w:lang w:val="fr-FR"/>
        </w:rPr>
        <w:t>Italie la nature et l</w:t>
      </w:r>
      <w:r w:rsidR="00E36981">
        <w:rPr>
          <w:lang w:val="fr-FR"/>
        </w:rPr>
        <w:t>’</w:t>
      </w:r>
      <w:r w:rsidRPr="00FB1DD1">
        <w:rPr>
          <w:lang w:val="fr-FR"/>
        </w:rPr>
        <w:t>étendue de l</w:t>
      </w:r>
      <w:r w:rsidR="00E36981">
        <w:rPr>
          <w:lang w:val="fr-FR"/>
        </w:rPr>
        <w:t>’</w:t>
      </w:r>
      <w:r w:rsidRPr="00FB1DD1">
        <w:rPr>
          <w:lang w:val="fr-FR"/>
        </w:rPr>
        <w:t>obligation, pour l</w:t>
      </w:r>
      <w:r w:rsidR="00E36981">
        <w:rPr>
          <w:lang w:val="fr-FR"/>
        </w:rPr>
        <w:t>’</w:t>
      </w:r>
      <w:r w:rsidRPr="00FB1DD1">
        <w:rPr>
          <w:lang w:val="fr-FR"/>
        </w:rPr>
        <w:t>État défendeur, de reconnaître aux justiciables le droit de se voir offrir la possibilité de solliciter une audience publique dans le cadre des procédures</w:t>
      </w:r>
      <w:r>
        <w:rPr>
          <w:lang w:val="fr-FR"/>
        </w:rPr>
        <w:t xml:space="preserve"> </w:t>
      </w:r>
      <w:r>
        <w:rPr>
          <w:bCs/>
          <w:lang w:val="fr-FR"/>
        </w:rPr>
        <w:t>en réparation à la suite d</w:t>
      </w:r>
      <w:r w:rsidR="00E36981">
        <w:rPr>
          <w:bCs/>
          <w:lang w:val="fr-FR"/>
        </w:rPr>
        <w:t>’</w:t>
      </w:r>
      <w:r w:rsidRPr="00B232A9">
        <w:rPr>
          <w:bCs/>
          <w:lang w:val="fr-FR"/>
        </w:rPr>
        <w:t>une détention préventive injuste</w:t>
      </w:r>
      <w:r>
        <w:rPr>
          <w:lang w:val="fr-FR"/>
        </w:rPr>
        <w:t xml:space="preserve"> (</w:t>
      </w:r>
      <w:r w:rsidRPr="00945836">
        <w:rPr>
          <w:lang w:val="fr-FR"/>
        </w:rPr>
        <w:t xml:space="preserve">voir, </w:t>
      </w:r>
      <w:r w:rsidRPr="00FB40E6">
        <w:rPr>
          <w:i/>
          <w:lang w:val="fr-FR"/>
        </w:rPr>
        <w:t>Lorenzetti c. Italie</w:t>
      </w:r>
      <w:r w:rsidRPr="00FB40E6">
        <w:rPr>
          <w:lang w:val="fr-FR"/>
        </w:rPr>
        <w:t>, n</w:t>
      </w:r>
      <w:r w:rsidRPr="00FB40E6">
        <w:rPr>
          <w:vertAlign w:val="superscript"/>
          <w:lang w:val="fr-FR"/>
        </w:rPr>
        <w:t>o</w:t>
      </w:r>
      <w:r w:rsidR="007E20A5">
        <w:rPr>
          <w:vertAlign w:val="superscript"/>
          <w:lang w:val="fr-FR"/>
        </w:rPr>
        <w:t> </w:t>
      </w:r>
      <w:r w:rsidRPr="00FB40E6">
        <w:rPr>
          <w:lang w:val="fr-FR"/>
        </w:rPr>
        <w:t>32075/09</w:t>
      </w:r>
      <w:r w:rsidRPr="00FB40E6">
        <w:rPr>
          <w:snapToGrid w:val="0"/>
          <w:szCs w:val="24"/>
          <w:lang w:val="fr-FR"/>
        </w:rPr>
        <w:t xml:space="preserve">, </w:t>
      </w:r>
      <w:r>
        <w:rPr>
          <w:snapToGrid w:val="0"/>
          <w:szCs w:val="24"/>
          <w:lang w:val="fr-FR"/>
        </w:rPr>
        <w:t xml:space="preserve">§§ 34-35, </w:t>
      </w:r>
      <w:r w:rsidRPr="00FB40E6">
        <w:rPr>
          <w:snapToGrid w:val="0"/>
          <w:szCs w:val="24"/>
          <w:lang w:val="fr-FR"/>
        </w:rPr>
        <w:t xml:space="preserve">10 </w:t>
      </w:r>
      <w:r w:rsidRPr="00FB40E6">
        <w:rPr>
          <w:szCs w:val="24"/>
          <w:lang w:val="fr-FR"/>
        </w:rPr>
        <w:t>avril</w:t>
      </w:r>
      <w:r w:rsidRPr="00FB40E6">
        <w:rPr>
          <w:snapToGrid w:val="0"/>
          <w:szCs w:val="24"/>
          <w:lang w:val="fr-FR"/>
        </w:rPr>
        <w:t xml:space="preserve"> 2012</w:t>
      </w:r>
      <w:r>
        <w:rPr>
          <w:snapToGrid w:val="0"/>
          <w:szCs w:val="24"/>
          <w:lang w:val="fr-FR"/>
        </w:rPr>
        <w:t xml:space="preserve">) ainsi que dans le cadre des procédures </w:t>
      </w:r>
      <w:r w:rsidRPr="00FB1DD1">
        <w:rPr>
          <w:lang w:val="fr-FR"/>
        </w:rPr>
        <w:t>visant l</w:t>
      </w:r>
      <w:r w:rsidR="00E36981">
        <w:rPr>
          <w:lang w:val="fr-FR"/>
        </w:rPr>
        <w:t>’</w:t>
      </w:r>
      <w:r w:rsidRPr="00FB1DD1">
        <w:rPr>
          <w:lang w:val="fr-FR"/>
        </w:rPr>
        <w:t xml:space="preserve">application des mesures de prévention </w:t>
      </w:r>
      <w:r>
        <w:rPr>
          <w:lang w:val="fr-FR"/>
        </w:rPr>
        <w:t xml:space="preserve">patrimoniales </w:t>
      </w:r>
      <w:r w:rsidRPr="00FB1DD1">
        <w:rPr>
          <w:lang w:val="fr-FR"/>
        </w:rPr>
        <w:t>(</w:t>
      </w:r>
      <w:r>
        <w:rPr>
          <w:i/>
          <w:lang w:val="fr-FR"/>
        </w:rPr>
        <w:t>Bocellari et Rizza c. </w:t>
      </w:r>
      <w:r w:rsidRPr="00B232A9">
        <w:rPr>
          <w:i/>
          <w:lang w:val="fr-FR"/>
        </w:rPr>
        <w:t>Italie</w:t>
      </w:r>
      <w:r w:rsidRPr="00B232A9">
        <w:rPr>
          <w:lang w:val="fr-FR"/>
        </w:rPr>
        <w:t>, n</w:t>
      </w:r>
      <w:r w:rsidRPr="00B232A9">
        <w:rPr>
          <w:vertAlign w:val="superscript"/>
          <w:lang w:val="fr-FR"/>
        </w:rPr>
        <w:t>o</w:t>
      </w:r>
      <w:r w:rsidRPr="00B232A9">
        <w:rPr>
          <w:lang w:val="fr-FR"/>
        </w:rPr>
        <w:t xml:space="preserve"> 399/02, §§ 34-41</w:t>
      </w:r>
      <w:r>
        <w:rPr>
          <w:lang w:val="fr-FR"/>
        </w:rPr>
        <w:t>, 13</w:t>
      </w:r>
      <w:r w:rsidR="009E4C25">
        <w:rPr>
          <w:lang w:val="fr-FR"/>
        </w:rPr>
        <w:t xml:space="preserve"> </w:t>
      </w:r>
      <w:r w:rsidRPr="00B232A9">
        <w:rPr>
          <w:lang w:val="fr-FR"/>
        </w:rPr>
        <w:t xml:space="preserve">novembre 2007, </w:t>
      </w:r>
      <w:r w:rsidRPr="00B232A9">
        <w:rPr>
          <w:i/>
          <w:iCs/>
          <w:lang w:val="fr-FR"/>
        </w:rPr>
        <w:t>Perre et autres c.</w:t>
      </w:r>
      <w:r w:rsidR="007E20A5">
        <w:rPr>
          <w:i/>
          <w:iCs/>
          <w:lang w:val="fr-FR"/>
        </w:rPr>
        <w:t> </w:t>
      </w:r>
      <w:r w:rsidRPr="00B232A9">
        <w:rPr>
          <w:i/>
          <w:iCs/>
          <w:lang w:val="fr-FR"/>
        </w:rPr>
        <w:t>Italie</w:t>
      </w:r>
      <w:r w:rsidRPr="00B232A9">
        <w:rPr>
          <w:lang w:val="fr-FR"/>
        </w:rPr>
        <w:t>, n</w:t>
      </w:r>
      <w:r w:rsidRPr="00B232A9">
        <w:rPr>
          <w:vertAlign w:val="superscript"/>
          <w:lang w:val="fr-FR"/>
        </w:rPr>
        <w:t>o</w:t>
      </w:r>
      <w:r>
        <w:rPr>
          <w:lang w:val="fr-FR"/>
        </w:rPr>
        <w:t> 1905/05, §§ 23-26 , 8</w:t>
      </w:r>
      <w:r w:rsidR="009E4C25">
        <w:rPr>
          <w:lang w:val="fr-FR"/>
        </w:rPr>
        <w:t xml:space="preserve"> </w:t>
      </w:r>
      <w:r>
        <w:rPr>
          <w:lang w:val="fr-FR"/>
        </w:rPr>
        <w:t>juillet </w:t>
      </w:r>
      <w:r w:rsidRPr="00B232A9">
        <w:rPr>
          <w:lang w:val="fr-FR"/>
        </w:rPr>
        <w:t xml:space="preserve">2008, </w:t>
      </w:r>
      <w:r w:rsidRPr="00B232A9">
        <w:rPr>
          <w:i/>
          <w:iCs/>
          <w:lang w:val="fr-FR"/>
        </w:rPr>
        <w:t>Bongiorno et autres c.</w:t>
      </w:r>
      <w:r w:rsidR="007E20A5">
        <w:rPr>
          <w:i/>
          <w:iCs/>
          <w:lang w:val="fr-FR"/>
        </w:rPr>
        <w:t> </w:t>
      </w:r>
      <w:r w:rsidRPr="00B232A9">
        <w:rPr>
          <w:i/>
          <w:iCs/>
          <w:lang w:val="fr-FR"/>
        </w:rPr>
        <w:t>Italie</w:t>
      </w:r>
      <w:r w:rsidRPr="00B232A9">
        <w:rPr>
          <w:lang w:val="fr-FR"/>
        </w:rPr>
        <w:t>, n</w:t>
      </w:r>
      <w:r w:rsidRPr="00B232A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232A9">
        <w:rPr>
          <w:lang w:val="fr-FR"/>
        </w:rPr>
        <w:t xml:space="preserve">4514/07, §§ 27-30, 5 janvier 2010, </w:t>
      </w:r>
      <w:r w:rsidRPr="00B232A9">
        <w:rPr>
          <w:i/>
          <w:iCs/>
          <w:lang w:val="fr-FR"/>
        </w:rPr>
        <w:t>Leone c. Italie</w:t>
      </w:r>
      <w:r w:rsidRPr="00B232A9">
        <w:rPr>
          <w:lang w:val="fr-FR"/>
        </w:rPr>
        <w:t>, n</w:t>
      </w:r>
      <w:r w:rsidRPr="00B232A9">
        <w:rPr>
          <w:vertAlign w:val="superscript"/>
          <w:lang w:val="fr-FR"/>
        </w:rPr>
        <w:t>o</w:t>
      </w:r>
      <w:r w:rsidR="009E4C25">
        <w:rPr>
          <w:lang w:val="fr-FR"/>
        </w:rPr>
        <w:t xml:space="preserve"> 30506/07, §§ </w:t>
      </w:r>
      <w:r w:rsidRPr="00B232A9">
        <w:rPr>
          <w:lang w:val="fr-FR"/>
        </w:rPr>
        <w:t>26-29, 2 février 2010,</w:t>
      </w:r>
      <w:r>
        <w:rPr>
          <w:lang w:val="fr-FR"/>
        </w:rPr>
        <w:t xml:space="preserve"> </w:t>
      </w:r>
      <w:r w:rsidRPr="00B232A9">
        <w:rPr>
          <w:lang w:val="fr-FR"/>
        </w:rPr>
        <w:t xml:space="preserve">et </w:t>
      </w:r>
      <w:r w:rsidRPr="00B232A9">
        <w:rPr>
          <w:i/>
          <w:iCs/>
          <w:lang w:val="fr-FR"/>
        </w:rPr>
        <w:t>Capitani et Campanella c. Italie</w:t>
      </w:r>
      <w:r w:rsidRPr="00B232A9">
        <w:rPr>
          <w:lang w:val="fr-FR"/>
        </w:rPr>
        <w:t>, n</w:t>
      </w:r>
      <w:r w:rsidRPr="00064837">
        <w:rPr>
          <w:vertAlign w:val="superscript"/>
          <w:lang w:val="fr-FR"/>
        </w:rPr>
        <w:t>o</w:t>
      </w:r>
      <w:r w:rsidRPr="00B232A9">
        <w:rPr>
          <w:lang w:val="fr-FR"/>
        </w:rPr>
        <w:t xml:space="preserve"> 24920/07, §§</w:t>
      </w:r>
      <w:r w:rsidR="009E4C25">
        <w:rPr>
          <w:lang w:val="fr-FR"/>
        </w:rPr>
        <w:t> </w:t>
      </w:r>
      <w:r w:rsidRPr="00B232A9">
        <w:rPr>
          <w:lang w:val="fr-FR"/>
        </w:rPr>
        <w:t>26-29, 17 mai 2011</w:t>
      </w:r>
      <w:r w:rsidRPr="00FB1DD1">
        <w:rPr>
          <w:lang w:val="fr-FR"/>
        </w:rPr>
        <w:t>). Lorsque la Cour a conclu à la violation de l</w:t>
      </w:r>
      <w:r w:rsidR="00E36981">
        <w:rPr>
          <w:lang w:val="fr-FR"/>
        </w:rPr>
        <w:t>’</w:t>
      </w:r>
      <w:r w:rsidRPr="00FB1DD1">
        <w:rPr>
          <w:lang w:val="fr-FR"/>
        </w:rPr>
        <w:t>article</w:t>
      </w:r>
      <w:r w:rsidR="007E20A5">
        <w:rPr>
          <w:lang w:val="fr-FR"/>
        </w:rPr>
        <w:t> </w:t>
      </w:r>
      <w:r w:rsidRPr="00FB1DD1">
        <w:rPr>
          <w:lang w:val="fr-FR"/>
        </w:rPr>
        <w:t>6</w:t>
      </w:r>
      <w:r w:rsidR="007E20A5">
        <w:rPr>
          <w:lang w:val="fr-FR"/>
        </w:rPr>
        <w:t> </w:t>
      </w:r>
      <w:r w:rsidRPr="00FB1DD1">
        <w:rPr>
          <w:lang w:val="fr-FR"/>
        </w:rPr>
        <w:t>§</w:t>
      </w:r>
      <w:r w:rsidR="007E20A5">
        <w:rPr>
          <w:lang w:val="fr-FR"/>
        </w:rPr>
        <w:t> </w:t>
      </w:r>
      <w:r w:rsidRPr="00FB1DD1">
        <w:rPr>
          <w:lang w:val="fr-FR"/>
        </w:rPr>
        <w:t>1 de la Convention, elle a considéré que les constats de violation constituaient une satisfaction équitable suffisante pour le préjudice moral subi par les requérants (</w:t>
      </w:r>
      <w:r w:rsidRPr="00B46C19">
        <w:rPr>
          <w:i/>
          <w:lang w:val="fr-FR"/>
        </w:rPr>
        <w:t xml:space="preserve">Lorenzetti </w:t>
      </w:r>
      <w:r w:rsidRPr="00B46C19">
        <w:rPr>
          <w:lang w:val="fr-FR"/>
        </w:rPr>
        <w:t xml:space="preserve">précité </w:t>
      </w:r>
      <w:r>
        <w:rPr>
          <w:lang w:val="fr-FR"/>
        </w:rPr>
        <w:t xml:space="preserve">§ 52, </w:t>
      </w:r>
      <w:r w:rsidRPr="00FB1DD1">
        <w:rPr>
          <w:i/>
          <w:iCs/>
          <w:lang w:val="fr-FR"/>
        </w:rPr>
        <w:t xml:space="preserve">Frascati c. Italie </w:t>
      </w:r>
      <w:r w:rsidRPr="00FB1DD1">
        <w:rPr>
          <w:lang w:val="fr-FR"/>
        </w:rPr>
        <w:t>(déc.), n</w:t>
      </w:r>
      <w:r w:rsidRPr="00FB1DD1">
        <w:rPr>
          <w:vertAlign w:val="superscript"/>
          <w:lang w:val="fr-FR"/>
        </w:rPr>
        <w:t>o</w:t>
      </w:r>
      <w:r w:rsidR="009E4C25">
        <w:rPr>
          <w:lang w:val="fr-FR"/>
        </w:rPr>
        <w:t xml:space="preserve"> 5382/08, § </w:t>
      </w:r>
      <w:r w:rsidRPr="00FB1DD1">
        <w:rPr>
          <w:lang w:val="fr-FR"/>
        </w:rPr>
        <w:t>20, 13 mai 2014</w:t>
      </w:r>
      <w:r w:rsidR="009E4C25">
        <w:rPr>
          <w:lang w:val="fr-FR"/>
        </w:rPr>
        <w:t>,</w:t>
      </w:r>
      <w:r w:rsidRPr="00FB1DD1">
        <w:rPr>
          <w:lang w:val="fr-FR"/>
        </w:rPr>
        <w:t xml:space="preserve"> et </w:t>
      </w:r>
      <w:r w:rsidRPr="00FB1DD1">
        <w:rPr>
          <w:i/>
          <w:iCs/>
          <w:lang w:val="fr-FR"/>
        </w:rPr>
        <w:t>Cacucci et Sabatelli c. Italie</w:t>
      </w:r>
      <w:r w:rsidRPr="00FB1DD1">
        <w:rPr>
          <w:lang w:val="fr-FR"/>
        </w:rPr>
        <w:t xml:space="preserve"> (déc.), n</w:t>
      </w:r>
      <w:r w:rsidRPr="00FB1DD1">
        <w:rPr>
          <w:vertAlign w:val="superscript"/>
          <w:lang w:val="fr-FR"/>
        </w:rPr>
        <w:t>o</w:t>
      </w:r>
      <w:r w:rsidR="009E4C25">
        <w:rPr>
          <w:vertAlign w:val="superscript"/>
          <w:lang w:val="fr-FR"/>
        </w:rPr>
        <w:t> </w:t>
      </w:r>
      <w:r w:rsidRPr="00FB1DD1">
        <w:rPr>
          <w:lang w:val="fr-FR"/>
        </w:rPr>
        <w:t>29797/09, §</w:t>
      </w:r>
      <w:r w:rsidR="007E20A5">
        <w:rPr>
          <w:lang w:val="fr-FR"/>
        </w:rPr>
        <w:t> </w:t>
      </w:r>
      <w:r w:rsidRPr="00FB1DD1">
        <w:rPr>
          <w:lang w:val="fr-FR"/>
        </w:rPr>
        <w:t>12, 25</w:t>
      </w:r>
      <w:r w:rsidR="009E4C25">
        <w:rPr>
          <w:lang w:val="fr-FR"/>
        </w:rPr>
        <w:t xml:space="preserve"> </w:t>
      </w:r>
      <w:r w:rsidRPr="00FB1DD1">
        <w:rPr>
          <w:lang w:val="fr-FR"/>
        </w:rPr>
        <w:t>août 2015).</w:t>
      </w:r>
    </w:p>
    <w:p w:rsidR="008D10CF" w:rsidRPr="00FB1DD1" w:rsidRDefault="008D10CF" w:rsidP="003071E2">
      <w:pPr>
        <w:pStyle w:val="ECHRPara"/>
        <w:rPr>
          <w:lang w:val="fr-FR"/>
        </w:rPr>
      </w:pPr>
      <w:r w:rsidRPr="00FB1DD1">
        <w:rPr>
          <w:lang w:val="fr-FR"/>
        </w:rPr>
        <w:t>Eu égard à la nature des concessions que renferme la déclaration du Gouvernement, ainsi qu</w:t>
      </w:r>
      <w:r w:rsidR="00E36981">
        <w:rPr>
          <w:lang w:val="fr-FR"/>
        </w:rPr>
        <w:t>’</w:t>
      </w:r>
      <w:r w:rsidRPr="00FB1DD1">
        <w:rPr>
          <w:lang w:val="fr-FR"/>
        </w:rPr>
        <w:t>au montant proposé pour frais et dépens qu</w:t>
      </w:r>
      <w:r w:rsidR="00E36981">
        <w:rPr>
          <w:lang w:val="fr-FR"/>
        </w:rPr>
        <w:t>’</w:t>
      </w:r>
      <w:r w:rsidRPr="00FB1DD1">
        <w:rPr>
          <w:lang w:val="fr-FR"/>
        </w:rPr>
        <w:t>elle considère raisonnable, la Cour estime qu</w:t>
      </w:r>
      <w:r w:rsidR="00E36981">
        <w:rPr>
          <w:lang w:val="fr-FR"/>
        </w:rPr>
        <w:t>’</w:t>
      </w:r>
      <w:r w:rsidRPr="00FB1DD1">
        <w:rPr>
          <w:lang w:val="fr-FR"/>
        </w:rPr>
        <w:t>il ne se justifie plus de poursuivre l</w:t>
      </w:r>
      <w:r w:rsidR="00E36981">
        <w:rPr>
          <w:lang w:val="fr-FR"/>
        </w:rPr>
        <w:t>’</w:t>
      </w:r>
      <w:r w:rsidRPr="00FB1DD1">
        <w:rPr>
          <w:lang w:val="fr-FR"/>
        </w:rPr>
        <w:t xml:space="preserve">examen </w:t>
      </w:r>
      <w:r>
        <w:rPr>
          <w:lang w:val="fr-FR"/>
        </w:rPr>
        <w:t>des requêtes (article 37 § 1 c).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36981">
        <w:rPr>
          <w:lang w:val="fr-FR"/>
        </w:rPr>
        <w:t>’</w:t>
      </w:r>
      <w:r w:rsidRPr="00945836">
        <w:rPr>
          <w:lang w:val="fr-FR"/>
        </w:rPr>
        <w:t>homme garantis par la Convention et ses Protocoles n</w:t>
      </w:r>
      <w:r w:rsidR="00E36981">
        <w:rPr>
          <w:lang w:val="fr-FR"/>
        </w:rPr>
        <w:t>’</w:t>
      </w:r>
      <w:r w:rsidRPr="00945836">
        <w:rPr>
          <w:lang w:val="fr-FR"/>
        </w:rPr>
        <w:t>exige pas qu</w:t>
      </w:r>
      <w:r w:rsidR="00E36981">
        <w:rPr>
          <w:lang w:val="fr-FR"/>
        </w:rPr>
        <w:t>’</w:t>
      </w:r>
      <w:r w:rsidRPr="00945836">
        <w:rPr>
          <w:lang w:val="fr-FR"/>
        </w:rPr>
        <w:t>elle poursuive l</w:t>
      </w:r>
      <w:r w:rsidR="00E36981">
        <w:rPr>
          <w:lang w:val="fr-FR"/>
        </w:rPr>
        <w:t>’</w:t>
      </w:r>
      <w:r w:rsidRPr="00945836">
        <w:rPr>
          <w:lang w:val="fr-FR"/>
        </w:rPr>
        <w:t>examen des requêtes (article</w:t>
      </w:r>
      <w:r w:rsidR="007E20A5">
        <w:rPr>
          <w:lang w:val="fr-FR"/>
        </w:rPr>
        <w:t> </w:t>
      </w:r>
      <w:r w:rsidRPr="00945836">
        <w:rPr>
          <w:lang w:val="fr-FR"/>
        </w:rPr>
        <w:t>37</w:t>
      </w:r>
      <w:r w:rsidR="007E20A5">
        <w:rPr>
          <w:lang w:val="fr-FR"/>
        </w:rPr>
        <w:t> </w:t>
      </w:r>
      <w:r w:rsidRPr="00945836">
        <w:rPr>
          <w:lang w:val="fr-FR"/>
        </w:rPr>
        <w:t>§</w:t>
      </w:r>
      <w:r w:rsidR="007E20A5">
        <w:rPr>
          <w:lang w:val="fr-FR"/>
        </w:rPr>
        <w:t> </w:t>
      </w:r>
      <w:r w:rsidRPr="00945836">
        <w:rPr>
          <w:lang w:val="fr-FR"/>
        </w:rPr>
        <w:t xml:space="preserve">1 </w:t>
      </w:r>
      <w:r w:rsidRPr="00945836">
        <w:rPr>
          <w:i/>
          <w:iCs/>
          <w:lang w:val="fr-FR"/>
        </w:rPr>
        <w:t>in fine</w:t>
      </w:r>
      <w:r w:rsidRPr="00945836">
        <w:rPr>
          <w:lang w:val="fr-FR"/>
        </w:rPr>
        <w:t>).</w:t>
      </w:r>
    </w:p>
    <w:p w:rsidR="008D10CF" w:rsidRPr="00945836" w:rsidRDefault="008D10CF" w:rsidP="003071E2">
      <w:pPr>
        <w:pStyle w:val="ECHRPara"/>
        <w:rPr>
          <w:lang w:val="fr-FR"/>
        </w:rPr>
      </w:pPr>
      <w:r w:rsidRPr="0094583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36981">
        <w:rPr>
          <w:lang w:val="fr-FR"/>
        </w:rPr>
        <w:t>’</w:t>
      </w:r>
      <w:r w:rsidRPr="00945836">
        <w:rPr>
          <w:lang w:val="fr-FR"/>
        </w:rPr>
        <w:t>article 37 § 2 de la Convention (</w:t>
      </w:r>
      <w:r w:rsidRPr="00945836">
        <w:rPr>
          <w:i/>
          <w:lang w:val="fr-FR"/>
        </w:rPr>
        <w:t>Josipović c. Serbie</w:t>
      </w:r>
      <w:r w:rsidRPr="00945836">
        <w:rPr>
          <w:lang w:val="fr-FR"/>
        </w:rPr>
        <w:t xml:space="preserve"> (déc.), nº 18369/07, 4 mars 2008).</w:t>
      </w:r>
    </w:p>
    <w:p w:rsidR="008D10CF" w:rsidRPr="00945836" w:rsidRDefault="008D10CF" w:rsidP="007A698D">
      <w:pPr>
        <w:pStyle w:val="ECHRPara"/>
        <w:rPr>
          <w:lang w:val="fr-FR"/>
        </w:rPr>
      </w:pPr>
      <w:r w:rsidRPr="00945836">
        <w:rPr>
          <w:lang w:val="fr-FR"/>
        </w:rPr>
        <w:t>En conséquence, il convient de rayer les affaires du rôle.</w:t>
      </w:r>
    </w:p>
    <w:p w:rsidR="008D10CF" w:rsidRDefault="008D10CF" w:rsidP="007A698D">
      <w:pPr>
        <w:pStyle w:val="JuParaLast"/>
        <w:keepNext w:val="0"/>
        <w:keepLines w:val="0"/>
        <w:rPr>
          <w:lang w:val="fr-FR"/>
        </w:rPr>
      </w:pPr>
      <w:r w:rsidRPr="00945836">
        <w:rPr>
          <w:lang w:val="fr-FR"/>
        </w:rPr>
        <w:t>Par ces motifs, la Cour, à l</w:t>
      </w:r>
      <w:r w:rsidR="00E36981">
        <w:rPr>
          <w:lang w:val="fr-FR"/>
        </w:rPr>
        <w:t>’</w:t>
      </w:r>
      <w:r w:rsidRPr="00945836">
        <w:rPr>
          <w:lang w:val="fr-FR"/>
        </w:rPr>
        <w:t>unanimité,</w:t>
      </w:r>
    </w:p>
    <w:p w:rsidR="008D10CF" w:rsidRPr="009D3FE1" w:rsidRDefault="008D10CF" w:rsidP="007A698D">
      <w:pPr>
        <w:pStyle w:val="DecList"/>
        <w:rPr>
          <w:lang w:val="fr-FR"/>
        </w:rPr>
      </w:pPr>
      <w:r w:rsidRPr="009D3FE1">
        <w:rPr>
          <w:i/>
          <w:lang w:val="fr-FR"/>
        </w:rPr>
        <w:t xml:space="preserve">Décide </w:t>
      </w:r>
      <w:r w:rsidRPr="009D3FE1">
        <w:rPr>
          <w:lang w:val="fr-FR"/>
        </w:rPr>
        <w:t>de joindre les requêtes</w:t>
      </w:r>
      <w:r>
        <w:rPr>
          <w:lang w:val="fr-FR"/>
        </w:rPr>
        <w:t> ;</w:t>
      </w:r>
    </w:p>
    <w:p w:rsidR="008D10CF" w:rsidRPr="00945836" w:rsidRDefault="008D10CF" w:rsidP="007A698D">
      <w:pPr>
        <w:pStyle w:val="DecList"/>
        <w:rPr>
          <w:i/>
          <w:lang w:val="fr-FR"/>
        </w:rPr>
      </w:pPr>
      <w:r w:rsidRPr="00945836">
        <w:rPr>
          <w:i/>
          <w:lang w:val="fr-FR"/>
        </w:rPr>
        <w:t>Prend acte</w:t>
      </w:r>
      <w:r w:rsidRPr="00945836">
        <w:rPr>
          <w:lang w:val="fr-FR"/>
        </w:rPr>
        <w:t xml:space="preserve"> des termes de la déclaration du gouvernement défendeur concernant l</w:t>
      </w:r>
      <w:r w:rsidR="00E36981">
        <w:rPr>
          <w:lang w:val="fr-FR"/>
        </w:rPr>
        <w:t>’</w:t>
      </w:r>
      <w:r w:rsidRPr="00945836">
        <w:rPr>
          <w:lang w:val="fr-FR"/>
        </w:rPr>
        <w:t xml:space="preserve">article </w:t>
      </w:r>
      <w:r>
        <w:rPr>
          <w:lang w:val="fr-FR"/>
        </w:rPr>
        <w:t>6 § 1</w:t>
      </w:r>
      <w:r w:rsidRPr="00945836">
        <w:rPr>
          <w:lang w:val="fr-FR"/>
        </w:rPr>
        <w:t xml:space="preserve"> de la Convention et des modalités prévues pour assurer le respect des engagements ainsi pris ;</w:t>
      </w:r>
    </w:p>
    <w:p w:rsidR="008D10CF" w:rsidRPr="00945836" w:rsidRDefault="008D10CF" w:rsidP="003071E2">
      <w:pPr>
        <w:pStyle w:val="DecList"/>
        <w:rPr>
          <w:lang w:val="fr-FR"/>
        </w:rPr>
      </w:pPr>
      <w:r w:rsidRPr="00945836">
        <w:rPr>
          <w:i/>
          <w:lang w:val="fr-FR"/>
        </w:rPr>
        <w:lastRenderedPageBreak/>
        <w:t>Décide</w:t>
      </w:r>
      <w:r w:rsidRPr="00945836">
        <w:rPr>
          <w:lang w:val="fr-FR"/>
        </w:rPr>
        <w:t xml:space="preserve"> de rayer les requêtes du rôle en application de l</w:t>
      </w:r>
      <w:r w:rsidR="00E36981">
        <w:rPr>
          <w:lang w:val="fr-FR"/>
        </w:rPr>
        <w:t>’</w:t>
      </w:r>
      <w:r w:rsidRPr="00945836">
        <w:rPr>
          <w:lang w:val="fr-FR"/>
        </w:rPr>
        <w:t>article 37 § 1 c) de la Convention.</w:t>
      </w:r>
    </w:p>
    <w:p w:rsidR="006544C4" w:rsidRPr="00D43F5E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050A32" w:rsidRPr="00D43F5E" w:rsidRDefault="00F40988" w:rsidP="00050A32">
      <w:pPr>
        <w:pStyle w:val="JuParaLast"/>
        <w:rPr>
          <w:lang w:val="fr-FR"/>
        </w:rPr>
      </w:pPr>
      <w:r w:rsidRPr="00D43F5E">
        <w:rPr>
          <w:szCs w:val="24"/>
          <w:lang w:val="fr-FR"/>
        </w:rPr>
        <w:t xml:space="preserve">Fait en français puis communiqué par écrit le </w:t>
      </w:r>
      <w:r w:rsidR="008D10CF">
        <w:rPr>
          <w:szCs w:val="24"/>
          <w:lang w:val="fr-FR"/>
        </w:rPr>
        <w:t>6 octobre 2016</w:t>
      </w:r>
      <w:r w:rsidRPr="00D43F5E">
        <w:rPr>
          <w:lang w:val="fr-FR"/>
        </w:rPr>
        <w:t>.</w:t>
      </w:r>
    </w:p>
    <w:p w:rsidR="005B1EB8" w:rsidRDefault="00BC16FC" w:rsidP="00BC16FC">
      <w:pPr>
        <w:pStyle w:val="JuSigned"/>
        <w:tabs>
          <w:tab w:val="clear" w:pos="6407"/>
          <w:tab w:val="center" w:pos="6096"/>
        </w:tabs>
        <w:rPr>
          <w:rFonts w:asciiTheme="majorHAnsi" w:hAnsiTheme="majorHAnsi"/>
          <w:b/>
          <w:caps/>
          <w:lang w:val="fr-FR"/>
        </w:rPr>
      </w:pPr>
      <w:r w:rsidRPr="00C02B8D">
        <w:rPr>
          <w:lang w:val="fr-FR"/>
        </w:rPr>
        <w:tab/>
      </w:r>
      <w:r w:rsidRPr="00BC16FC">
        <w:rPr>
          <w:lang w:val="fr-FR"/>
        </w:rPr>
        <w:t>Renata Degener</w:t>
      </w:r>
      <w:r w:rsidRPr="00BC16FC">
        <w:rPr>
          <w:lang w:val="fr-FR"/>
        </w:rPr>
        <w:tab/>
        <w:t>Linos-Alexandre Sicilianos</w:t>
      </w:r>
      <w:r w:rsidRPr="00BC16FC">
        <w:rPr>
          <w:lang w:val="fr-FR"/>
        </w:rPr>
        <w:br/>
      </w:r>
      <w:r w:rsidRPr="00BC16FC">
        <w:rPr>
          <w:lang w:val="fr-FR"/>
        </w:rPr>
        <w:tab/>
        <w:t>Greffière adjointe</w:t>
      </w:r>
      <w:r w:rsidRPr="00BC16FC">
        <w:rPr>
          <w:lang w:val="fr-FR"/>
        </w:rPr>
        <w:tab/>
        <w:t>Président</w:t>
      </w:r>
      <w:r w:rsidR="005B1EB8">
        <w:rPr>
          <w:rFonts w:asciiTheme="majorHAnsi" w:hAnsiTheme="majorHAnsi"/>
          <w:b/>
          <w:caps/>
          <w:lang w:val="fr-FR"/>
        </w:rPr>
        <w:br w:type="page"/>
      </w:r>
    </w:p>
    <w:p w:rsidR="008D10CF" w:rsidRPr="00945836" w:rsidRDefault="008D10CF" w:rsidP="001852F1">
      <w:pPr>
        <w:pStyle w:val="JuTitle"/>
        <w:ind w:right="-1006" w:hanging="993"/>
        <w:rPr>
          <w:lang w:val="fr-FR"/>
        </w:rPr>
      </w:pPr>
      <w:r w:rsidRPr="00945836">
        <w:rPr>
          <w:lang w:val="fr-FR"/>
        </w:rPr>
        <w:lastRenderedPageBreak/>
        <w:t>ANNEXE</w:t>
      </w:r>
    </w:p>
    <w:tbl>
      <w:tblPr>
        <w:tblStyle w:val="ECHRListTable"/>
        <w:tblW w:w="9391" w:type="dxa"/>
        <w:tblInd w:w="-885" w:type="dxa"/>
        <w:tblLook w:val="05E0" w:firstRow="1" w:lastRow="1" w:firstColumn="1" w:lastColumn="1" w:noHBand="0" w:noVBand="1"/>
      </w:tblPr>
      <w:tblGrid>
        <w:gridCol w:w="497"/>
        <w:gridCol w:w="1488"/>
        <w:gridCol w:w="1541"/>
        <w:gridCol w:w="2854"/>
        <w:gridCol w:w="3011"/>
      </w:tblGrid>
      <w:tr w:rsidR="008D10CF" w:rsidTr="00185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" w:type="dxa"/>
            <w:vAlign w:val="center"/>
          </w:tcPr>
          <w:p w:rsidR="008D10CF" w:rsidRDefault="008D10CF" w:rsidP="001852F1">
            <w:pPr>
              <w:jc w:val="center"/>
            </w:pPr>
            <w:bookmarkStart w:id="1" w:name="TableStart"/>
            <w:bookmarkEnd w:id="1"/>
            <w:r>
              <w:t>N</w:t>
            </w:r>
            <w:r w:rsidRPr="00064837">
              <w:rPr>
                <w:vertAlign w:val="superscript"/>
              </w:rPr>
              <w:t>o</w:t>
            </w:r>
          </w:p>
        </w:tc>
        <w:tc>
          <w:tcPr>
            <w:tcW w:w="1488" w:type="dxa"/>
            <w:vAlign w:val="center"/>
          </w:tcPr>
          <w:p w:rsidR="008D10CF" w:rsidRDefault="008D10CF" w:rsidP="001852F1">
            <w:pPr>
              <w:jc w:val="center"/>
            </w:pPr>
            <w:r>
              <w:t>Requête N</w:t>
            </w:r>
            <w:r w:rsidRPr="00064837">
              <w:rPr>
                <w:vertAlign w:val="superscript"/>
              </w:rPr>
              <w:t>o</w:t>
            </w:r>
          </w:p>
        </w:tc>
        <w:tc>
          <w:tcPr>
            <w:tcW w:w="1541" w:type="dxa"/>
            <w:vAlign w:val="center"/>
          </w:tcPr>
          <w:p w:rsidR="008D10CF" w:rsidRDefault="008D10CF" w:rsidP="001852F1">
            <w:pPr>
              <w:jc w:val="center"/>
            </w:pPr>
            <w:r>
              <w:t>Introduite le</w:t>
            </w:r>
          </w:p>
        </w:tc>
        <w:tc>
          <w:tcPr>
            <w:tcW w:w="2854" w:type="dxa"/>
            <w:vAlign w:val="center"/>
          </w:tcPr>
          <w:p w:rsidR="008D10CF" w:rsidRPr="00CA7BA1" w:rsidRDefault="008D10CF" w:rsidP="001852F1">
            <w:pPr>
              <w:jc w:val="center"/>
              <w:rPr>
                <w:lang w:val="fr-FR"/>
              </w:rPr>
            </w:pPr>
            <w:r w:rsidRPr="00CA7BA1">
              <w:rPr>
                <w:lang w:val="fr-FR"/>
              </w:rPr>
              <w:t>Requérant</w:t>
            </w:r>
          </w:p>
          <w:p w:rsidR="008D10CF" w:rsidRPr="00CA7BA1" w:rsidRDefault="008D10CF" w:rsidP="001852F1">
            <w:pPr>
              <w:jc w:val="center"/>
              <w:rPr>
                <w:lang w:val="fr-FR"/>
              </w:rPr>
            </w:pPr>
            <w:r w:rsidRPr="00CA7BA1">
              <w:rPr>
                <w:lang w:val="fr-FR"/>
              </w:rPr>
              <w:t>Date de naissance</w:t>
            </w:r>
          </w:p>
          <w:p w:rsidR="008D10CF" w:rsidRPr="00CA7BA1" w:rsidRDefault="008D10CF" w:rsidP="001852F1">
            <w:pPr>
              <w:jc w:val="center"/>
              <w:rPr>
                <w:lang w:val="fr-FR"/>
              </w:rPr>
            </w:pPr>
            <w:r w:rsidRPr="00CA7BA1">
              <w:rPr>
                <w:lang w:val="fr-FR"/>
              </w:rPr>
              <w:t>Lieu de résidence</w:t>
            </w:r>
          </w:p>
        </w:tc>
        <w:tc>
          <w:tcPr>
            <w:tcW w:w="3011" w:type="dxa"/>
            <w:vAlign w:val="center"/>
          </w:tcPr>
          <w:p w:rsidR="008D10CF" w:rsidRDefault="008D10CF" w:rsidP="001852F1">
            <w:pPr>
              <w:jc w:val="center"/>
            </w:pPr>
            <w:r>
              <w:t>Représenté par</w:t>
            </w:r>
          </w:p>
        </w:tc>
      </w:tr>
      <w:tr w:rsidR="008D10CF" w:rsidTr="001852F1">
        <w:tc>
          <w:tcPr>
            <w:tcW w:w="497" w:type="dxa"/>
          </w:tcPr>
          <w:p w:rsidR="008D10CF" w:rsidRDefault="008D10CF" w:rsidP="008D10C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8D10CF" w:rsidRDefault="008D10CF" w:rsidP="001852F1">
            <w:pPr>
              <w:jc w:val="right"/>
            </w:pPr>
            <w:r>
              <w:t>43993/12</w:t>
            </w:r>
          </w:p>
        </w:tc>
        <w:tc>
          <w:tcPr>
            <w:tcW w:w="1541" w:type="dxa"/>
          </w:tcPr>
          <w:p w:rsidR="008D10CF" w:rsidRDefault="008D10CF" w:rsidP="001852F1">
            <w:pPr>
              <w:jc w:val="center"/>
            </w:pPr>
            <w:r>
              <w:t>13/07/2012</w:t>
            </w:r>
          </w:p>
        </w:tc>
        <w:tc>
          <w:tcPr>
            <w:tcW w:w="2854" w:type="dxa"/>
          </w:tcPr>
          <w:p w:rsidR="008D10CF" w:rsidRDefault="008D10CF" w:rsidP="003071E2">
            <w:pPr>
              <w:jc w:val="left"/>
              <w:rPr>
                <w:b/>
              </w:rPr>
            </w:pPr>
            <w:r>
              <w:rPr>
                <w:b/>
              </w:rPr>
              <w:t>Teseo RANUCCI</w:t>
            </w:r>
          </w:p>
          <w:p w:rsidR="008D10CF" w:rsidRDefault="008D10CF" w:rsidP="003071E2">
            <w:pPr>
              <w:jc w:val="left"/>
            </w:pPr>
            <w:r>
              <w:t>22/12/1956</w:t>
            </w:r>
          </w:p>
          <w:p w:rsidR="008D10CF" w:rsidRPr="00AB7B64" w:rsidRDefault="008D10CF" w:rsidP="003071E2">
            <w:pPr>
              <w:jc w:val="left"/>
            </w:pPr>
            <w:r>
              <w:t>Foggia</w:t>
            </w:r>
          </w:p>
        </w:tc>
        <w:tc>
          <w:tcPr>
            <w:tcW w:w="3011" w:type="dxa"/>
          </w:tcPr>
          <w:p w:rsidR="008D10CF" w:rsidRDefault="008D10CF" w:rsidP="003071E2">
            <w:pPr>
              <w:jc w:val="left"/>
            </w:pPr>
            <w:r>
              <w:t>Andrea SACCUCCI</w:t>
            </w:r>
          </w:p>
        </w:tc>
      </w:tr>
      <w:tr w:rsidR="008D10CF" w:rsidTr="001852F1">
        <w:tc>
          <w:tcPr>
            <w:tcW w:w="497" w:type="dxa"/>
          </w:tcPr>
          <w:p w:rsidR="008D10CF" w:rsidRDefault="008D10CF" w:rsidP="008D10C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8D10CF" w:rsidRDefault="008D10CF" w:rsidP="001852F1">
            <w:pPr>
              <w:jc w:val="right"/>
            </w:pPr>
            <w:r>
              <w:t>1129/13</w:t>
            </w:r>
          </w:p>
        </w:tc>
        <w:tc>
          <w:tcPr>
            <w:tcW w:w="1541" w:type="dxa"/>
          </w:tcPr>
          <w:p w:rsidR="008D10CF" w:rsidRDefault="008D10CF" w:rsidP="001852F1">
            <w:pPr>
              <w:jc w:val="center"/>
            </w:pPr>
            <w:r>
              <w:t>14/12/2012</w:t>
            </w:r>
          </w:p>
        </w:tc>
        <w:tc>
          <w:tcPr>
            <w:tcW w:w="2854" w:type="dxa"/>
          </w:tcPr>
          <w:p w:rsidR="008D10CF" w:rsidRDefault="008D10CF" w:rsidP="003071E2">
            <w:pPr>
              <w:jc w:val="left"/>
              <w:rPr>
                <w:b/>
              </w:rPr>
            </w:pPr>
            <w:r>
              <w:rPr>
                <w:b/>
              </w:rPr>
              <w:t>Yuzhen MO</w:t>
            </w:r>
          </w:p>
          <w:p w:rsidR="008D10CF" w:rsidRDefault="008D10CF" w:rsidP="003071E2">
            <w:pPr>
              <w:jc w:val="left"/>
            </w:pPr>
            <w:r>
              <w:t>08/01/1964</w:t>
            </w:r>
          </w:p>
          <w:p w:rsidR="008D10CF" w:rsidRPr="00AB7B64" w:rsidRDefault="008D10CF" w:rsidP="003071E2">
            <w:pPr>
              <w:jc w:val="left"/>
            </w:pPr>
            <w:r>
              <w:t>Santa Lucia di Piave</w:t>
            </w:r>
          </w:p>
        </w:tc>
        <w:tc>
          <w:tcPr>
            <w:tcW w:w="3011" w:type="dxa"/>
          </w:tcPr>
          <w:p w:rsidR="008D10CF" w:rsidRDefault="008D10CF" w:rsidP="003071E2">
            <w:pPr>
              <w:jc w:val="left"/>
            </w:pPr>
            <w:r>
              <w:t>Alessandro MAMMANA</w:t>
            </w:r>
          </w:p>
        </w:tc>
      </w:tr>
      <w:tr w:rsidR="008D10CF" w:rsidTr="001852F1">
        <w:tc>
          <w:tcPr>
            <w:tcW w:w="497" w:type="dxa"/>
          </w:tcPr>
          <w:p w:rsidR="008D10CF" w:rsidRDefault="008D10CF" w:rsidP="008D10C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8D10CF" w:rsidRDefault="008D10CF" w:rsidP="001852F1">
            <w:pPr>
              <w:jc w:val="right"/>
            </w:pPr>
            <w:r>
              <w:t>23913/13</w:t>
            </w:r>
          </w:p>
        </w:tc>
        <w:tc>
          <w:tcPr>
            <w:tcW w:w="1541" w:type="dxa"/>
          </w:tcPr>
          <w:p w:rsidR="008D10CF" w:rsidRDefault="008D10CF" w:rsidP="001852F1">
            <w:pPr>
              <w:jc w:val="center"/>
            </w:pPr>
            <w:r>
              <w:t>25/03/2013</w:t>
            </w:r>
          </w:p>
        </w:tc>
        <w:tc>
          <w:tcPr>
            <w:tcW w:w="2854" w:type="dxa"/>
          </w:tcPr>
          <w:p w:rsidR="008D10CF" w:rsidRDefault="008D10CF" w:rsidP="003071E2">
            <w:pPr>
              <w:jc w:val="left"/>
              <w:rPr>
                <w:b/>
              </w:rPr>
            </w:pPr>
            <w:r>
              <w:rPr>
                <w:b/>
              </w:rPr>
              <w:t>Antonio BOVA</w:t>
            </w:r>
          </w:p>
          <w:p w:rsidR="008D10CF" w:rsidRDefault="008D10CF" w:rsidP="003071E2">
            <w:pPr>
              <w:jc w:val="left"/>
            </w:pPr>
            <w:r>
              <w:t>01/04/1972</w:t>
            </w:r>
          </w:p>
          <w:p w:rsidR="008D10CF" w:rsidRPr="00AB7B64" w:rsidRDefault="008D10CF" w:rsidP="003071E2">
            <w:pPr>
              <w:jc w:val="left"/>
            </w:pPr>
            <w:r>
              <w:t>Mondragone</w:t>
            </w:r>
          </w:p>
        </w:tc>
        <w:tc>
          <w:tcPr>
            <w:tcW w:w="3011" w:type="dxa"/>
          </w:tcPr>
          <w:p w:rsidR="008D10CF" w:rsidRDefault="008D10CF" w:rsidP="003071E2">
            <w:pPr>
              <w:jc w:val="left"/>
            </w:pPr>
            <w:r>
              <w:t>Michele MARRA</w:t>
            </w:r>
          </w:p>
        </w:tc>
      </w:tr>
      <w:tr w:rsidR="008D10CF" w:rsidTr="001852F1">
        <w:trPr>
          <w:trHeight w:val="1116"/>
        </w:trPr>
        <w:tc>
          <w:tcPr>
            <w:tcW w:w="497" w:type="dxa"/>
          </w:tcPr>
          <w:p w:rsidR="008D10CF" w:rsidRDefault="008D10CF" w:rsidP="008D10C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8" w:type="dxa"/>
          </w:tcPr>
          <w:p w:rsidR="008D10CF" w:rsidRDefault="008D10CF" w:rsidP="001852F1">
            <w:pPr>
              <w:jc w:val="right"/>
            </w:pPr>
            <w:r>
              <w:t>62150/13</w:t>
            </w:r>
          </w:p>
        </w:tc>
        <w:tc>
          <w:tcPr>
            <w:tcW w:w="1541" w:type="dxa"/>
          </w:tcPr>
          <w:p w:rsidR="008D10CF" w:rsidRDefault="008D10CF" w:rsidP="001852F1">
            <w:pPr>
              <w:jc w:val="center"/>
            </w:pPr>
            <w:r>
              <w:t>17/09/2013</w:t>
            </w:r>
          </w:p>
        </w:tc>
        <w:tc>
          <w:tcPr>
            <w:tcW w:w="2854" w:type="dxa"/>
          </w:tcPr>
          <w:p w:rsidR="008D10CF" w:rsidRDefault="008D10CF" w:rsidP="003071E2">
            <w:pPr>
              <w:jc w:val="left"/>
              <w:rPr>
                <w:b/>
              </w:rPr>
            </w:pPr>
            <w:r>
              <w:rPr>
                <w:b/>
              </w:rPr>
              <w:t>Raffaele CAVAIUOLO</w:t>
            </w:r>
          </w:p>
          <w:p w:rsidR="008D10CF" w:rsidRDefault="008D10CF" w:rsidP="003071E2">
            <w:pPr>
              <w:jc w:val="left"/>
            </w:pPr>
            <w:r>
              <w:t>25/01/1960</w:t>
            </w:r>
          </w:p>
          <w:p w:rsidR="008D10CF" w:rsidRPr="00AB7B64" w:rsidRDefault="008D10CF" w:rsidP="003071E2">
            <w:pPr>
              <w:jc w:val="left"/>
            </w:pPr>
            <w:r>
              <w:t>Solopaca</w:t>
            </w:r>
          </w:p>
        </w:tc>
        <w:tc>
          <w:tcPr>
            <w:tcW w:w="3011" w:type="dxa"/>
          </w:tcPr>
          <w:p w:rsidR="008D10CF" w:rsidRDefault="008D10CF" w:rsidP="003071E2">
            <w:pPr>
              <w:jc w:val="left"/>
            </w:pPr>
            <w:r>
              <w:t>Antonella FORGIONE</w:t>
            </w:r>
            <w:bookmarkStart w:id="2" w:name="TableEnd"/>
            <w:bookmarkEnd w:id="2"/>
          </w:p>
        </w:tc>
      </w:tr>
    </w:tbl>
    <w:p w:rsidR="00234E8A" w:rsidRPr="00D43F5E" w:rsidRDefault="00234E8A" w:rsidP="004B77FE">
      <w:pPr>
        <w:rPr>
          <w:lang w:val="fr-FR"/>
        </w:rPr>
      </w:pPr>
    </w:p>
    <w:sectPr w:rsidR="00234E8A" w:rsidRPr="00D43F5E" w:rsidSect="001852F1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959" w:right="2274" w:bottom="2274" w:left="2274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92" w:rsidRPr="00AC6FC1" w:rsidRDefault="00E35992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E35992" w:rsidRPr="00AC6FC1" w:rsidRDefault="00E35992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CF" w:rsidRPr="00150BFA" w:rsidRDefault="008D10C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A85149E" wp14:editId="0E74F10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E35992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92" w:rsidRPr="00AC6FC1" w:rsidRDefault="00E35992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E35992" w:rsidRPr="00AC6FC1" w:rsidRDefault="00E35992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8D10CF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155D2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 xml:space="preserve">RANUCCI </w:t>
    </w:r>
    <w:r w:rsidR="00CA7BA1">
      <w:rPr>
        <w:lang w:val="fr-FR"/>
      </w:rPr>
      <w:t xml:space="preserve">c. ITALIE </w:t>
    </w:r>
    <w:r>
      <w:rPr>
        <w:lang w:val="fr-FR"/>
      </w:rPr>
      <w:t xml:space="preserve">ET AUTRES </w:t>
    </w:r>
    <w:r w:rsidR="00CA7BA1" w:rsidRPr="00CA7BA1">
      <w:rPr>
        <w:rFonts w:ascii="Times New Roman" w:hAnsi="Times New Roman" w:cs="Times New Roman"/>
        <w:szCs w:val="18"/>
        <w:lang w:val="fr-FR"/>
      </w:rPr>
      <w:t>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</w:r>
    <w:r w:rsidR="00CA7BA1" w:rsidRPr="00AC6FC1">
      <w:rPr>
        <w:lang w:val="fr-FR"/>
      </w:rPr>
      <w:t xml:space="preserve">DÉCISION </w:t>
    </w:r>
    <w:r w:rsidR="00CA7BA1">
      <w:rPr>
        <w:lang w:val="fr-FR"/>
      </w:rPr>
      <w:t xml:space="preserve">RANUCCI c. ITALIE ET AUTRES </w:t>
    </w:r>
    <w:r w:rsidR="00CA7BA1" w:rsidRPr="00CA7BA1">
      <w:rPr>
        <w:rFonts w:ascii="Times New Roman" w:hAnsi="Times New Roman" w:cs="Times New Roman"/>
        <w:szCs w:val="18"/>
        <w:lang w:val="fr-FR"/>
      </w:rPr>
      <w:t>REQUÊTES</w:t>
    </w:r>
    <w:r w:rsidRPr="00AC6FC1">
      <w:rPr>
        <w:lang w:val="fr-FR"/>
      </w:rPr>
      <w:tab/>
    </w:r>
    <w:r w:rsidR="008D10CF">
      <w:rPr>
        <w:rStyle w:val="Numeropagina"/>
        <w:lang w:val="fr-FR"/>
      </w:rPr>
      <w:fldChar w:fldCharType="begin"/>
    </w:r>
    <w:r w:rsidR="008D10CF">
      <w:rPr>
        <w:rStyle w:val="Numeropagina"/>
        <w:lang w:val="fr-FR"/>
      </w:rPr>
      <w:instrText xml:space="preserve"> PAGE </w:instrText>
    </w:r>
    <w:r w:rsidR="008D10CF">
      <w:rPr>
        <w:rStyle w:val="Numeropagina"/>
        <w:lang w:val="fr-FR"/>
      </w:rPr>
      <w:fldChar w:fldCharType="separate"/>
    </w:r>
    <w:r w:rsidR="009155D2">
      <w:rPr>
        <w:rStyle w:val="Numeropagina"/>
        <w:noProof/>
        <w:lang w:val="fr-FR"/>
      </w:rPr>
      <w:t>5</w:t>
    </w:r>
    <w:r w:rsidR="008D10C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CF" w:rsidRPr="00A45145" w:rsidRDefault="008D10C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6325928" wp14:editId="649333B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E35992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1B5F06"/>
    <w:multiLevelType w:val="hybridMultilevel"/>
    <w:tmpl w:val="7F0E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8D10C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852F1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5FE3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77FE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B8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592"/>
    <w:rsid w:val="00776D68"/>
    <w:rsid w:val="007850EE"/>
    <w:rsid w:val="00785B95"/>
    <w:rsid w:val="00790E96"/>
    <w:rsid w:val="00793366"/>
    <w:rsid w:val="007A698D"/>
    <w:rsid w:val="007A716F"/>
    <w:rsid w:val="007B270A"/>
    <w:rsid w:val="007C0695"/>
    <w:rsid w:val="007C419A"/>
    <w:rsid w:val="007C4CC8"/>
    <w:rsid w:val="007C5426"/>
    <w:rsid w:val="007C5798"/>
    <w:rsid w:val="007D4832"/>
    <w:rsid w:val="007E20A5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10CF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55D2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4C25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6FC"/>
    <w:rsid w:val="00BC1C27"/>
    <w:rsid w:val="00BC6BBF"/>
    <w:rsid w:val="00BD1572"/>
    <w:rsid w:val="00BE14E3"/>
    <w:rsid w:val="00BE3774"/>
    <w:rsid w:val="00BE41E5"/>
    <w:rsid w:val="00BF4109"/>
    <w:rsid w:val="00BF4CC3"/>
    <w:rsid w:val="00C02B8D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A7BA1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5992"/>
    <w:rsid w:val="00E3698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D10C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C9BB-CBB7-40BB-AAF6-92F4917A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CB605-8AF1-4CD3-AAC6-4634FE7C3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BB379-37EE-45FC-91DE-04A8434FB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83FBD-8073-40AE-81DF-144F9504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2016-10-13T16:15:00Z</dcterms:created>
  <dcterms:modified xsi:type="dcterms:W3CDTF">2016-10-13T16:15:00Z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43993/12</vt:lpwstr>
  </property>
  <property fmtid="{D5CDD505-2E9C-101B-9397-08002B2CF9AE}" pid="4" name="CASEID">
    <vt:lpwstr>812661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